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
      <w:pPr>
        <w:widowControl w:val="0"/>
        <w:adjustRightInd/>
        <w:snapToGrid/>
        <w:jc w:val="center"/>
        <w:rPr>
          <w:rFonts w:eastAsia="黑体" w:cs="Times New Roman"/>
          <w:kern w:val="2"/>
          <w:sz w:val="48"/>
          <w:szCs w:val="48"/>
        </w:rPr>
      </w:pPr>
      <w:r>
        <w:rPr>
          <w:rFonts w:hint="eastAsia" w:eastAsia="黑体" w:cs="Times New Roman"/>
          <w:kern w:val="2"/>
          <w:sz w:val="48"/>
          <w:szCs w:val="48"/>
        </w:rPr>
        <w:t>满洲里市“十四五”生态环境</w:t>
      </w:r>
    </w:p>
    <w:p>
      <w:pPr>
        <w:widowControl w:val="0"/>
        <w:adjustRightInd/>
        <w:snapToGrid/>
        <w:jc w:val="center"/>
        <w:rPr>
          <w:rFonts w:eastAsia="黑体" w:cs="Times New Roman"/>
          <w:kern w:val="2"/>
          <w:sz w:val="48"/>
          <w:szCs w:val="48"/>
        </w:rPr>
      </w:pPr>
      <w:r>
        <w:rPr>
          <w:rFonts w:hint="eastAsia" w:eastAsia="黑体" w:cs="Times New Roman"/>
          <w:kern w:val="2"/>
          <w:sz w:val="48"/>
          <w:szCs w:val="48"/>
        </w:rPr>
        <w:t>保护规划</w:t>
      </w:r>
    </w:p>
    <w:p>
      <w:pPr>
        <w:pStyle w:val="2"/>
        <w:rPr>
          <w:rFonts w:ascii="黑体" w:hAnsi="黑体" w:eastAsia="黑体"/>
          <w:sz w:val="48"/>
          <w:szCs w:val="48"/>
        </w:rPr>
      </w:pPr>
      <w:r>
        <w:rPr>
          <w:rFonts w:hint="eastAsia"/>
        </w:rPr>
        <w:t xml:space="preserve"> </w:t>
      </w:r>
      <w:r>
        <w:t xml:space="preserve">                  </w:t>
      </w:r>
    </w:p>
    <w:p>
      <w:pPr>
        <w:widowControl w:val="0"/>
        <w:adjustRightInd/>
        <w:snapToGrid/>
        <w:rPr>
          <w:rFonts w:eastAsia="黑体" w:cs="Times New Roman"/>
          <w:kern w:val="2"/>
          <w:sz w:val="48"/>
          <w:szCs w:val="48"/>
        </w:rPr>
      </w:pPr>
    </w:p>
    <w:p>
      <w:pPr>
        <w:widowControl w:val="0"/>
        <w:adjustRightInd/>
        <w:snapToGrid/>
        <w:jc w:val="center"/>
        <w:rPr>
          <w:rFonts w:eastAsia="黑体" w:cs="Times New Roman"/>
          <w:kern w:val="2"/>
          <w:sz w:val="48"/>
          <w:szCs w:val="48"/>
        </w:rPr>
      </w:pPr>
    </w:p>
    <w:p>
      <w:pPr>
        <w:widowControl w:val="0"/>
        <w:adjustRightInd/>
        <w:snapToGrid/>
        <w:jc w:val="center"/>
        <w:rPr>
          <w:rFonts w:eastAsia="黑体" w:cs="Times New Roman"/>
          <w:kern w:val="2"/>
          <w:sz w:val="48"/>
          <w:szCs w:val="48"/>
        </w:rPr>
      </w:pPr>
    </w:p>
    <w:p>
      <w:pPr>
        <w:widowControl w:val="0"/>
        <w:adjustRightInd/>
        <w:snapToGrid/>
        <w:jc w:val="center"/>
        <w:rPr>
          <w:rFonts w:eastAsia="黑体" w:cs="Times New Roman"/>
          <w:kern w:val="2"/>
          <w:sz w:val="48"/>
          <w:szCs w:val="48"/>
        </w:rPr>
      </w:pPr>
      <w:r>
        <w:drawing>
          <wp:inline distT="0" distB="0" distL="0" distR="0">
            <wp:extent cx="4524375" cy="268795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4541875" cy="2698550"/>
                    </a:xfrm>
                    <a:prstGeom prst="rect">
                      <a:avLst/>
                    </a:prstGeom>
                  </pic:spPr>
                </pic:pic>
              </a:graphicData>
            </a:graphic>
          </wp:inline>
        </w:drawing>
      </w:r>
    </w:p>
    <w:p>
      <w:pPr>
        <w:widowControl w:val="0"/>
        <w:adjustRightInd/>
        <w:snapToGrid/>
        <w:jc w:val="center"/>
        <w:rPr>
          <w:rFonts w:eastAsia="黑体" w:cs="Times New Roman"/>
          <w:kern w:val="2"/>
          <w:sz w:val="48"/>
          <w:szCs w:val="48"/>
        </w:rPr>
      </w:pPr>
    </w:p>
    <w:p>
      <w:pPr>
        <w:widowControl w:val="0"/>
        <w:adjustRightInd/>
        <w:snapToGrid/>
        <w:jc w:val="center"/>
        <w:rPr>
          <w:rFonts w:eastAsia="黑体" w:cs="Times New Roman"/>
          <w:kern w:val="2"/>
          <w:sz w:val="48"/>
          <w:szCs w:val="48"/>
        </w:rPr>
      </w:pPr>
    </w:p>
    <w:p>
      <w:pPr>
        <w:widowControl w:val="0"/>
        <w:adjustRightInd/>
        <w:snapToGrid/>
        <w:jc w:val="center"/>
        <w:rPr>
          <w:rFonts w:eastAsia="黑体" w:cs="Times New Roman"/>
          <w:kern w:val="2"/>
          <w:sz w:val="48"/>
          <w:szCs w:val="48"/>
        </w:rPr>
      </w:pPr>
    </w:p>
    <w:p>
      <w:pPr>
        <w:widowControl w:val="0"/>
        <w:adjustRightInd/>
        <w:snapToGrid/>
        <w:jc w:val="center"/>
        <w:rPr>
          <w:rFonts w:ascii="仿宋_GB2312" w:cs="Times New Roman"/>
          <w:b/>
          <w:kern w:val="2"/>
          <w:szCs w:val="30"/>
        </w:rPr>
      </w:pPr>
      <w:r>
        <w:rPr>
          <w:rFonts w:hint="eastAsia" w:ascii="仿宋_GB2312" w:cs="Times New Roman"/>
          <w:b/>
          <w:kern w:val="2"/>
          <w:szCs w:val="30"/>
        </w:rPr>
        <w:t>满洲里市人民政府</w:t>
      </w:r>
    </w:p>
    <w:p>
      <w:pPr>
        <w:widowControl w:val="0"/>
        <w:adjustRightInd/>
        <w:snapToGrid/>
        <w:jc w:val="center"/>
        <w:rPr>
          <w:rFonts w:cs="Times New Roman"/>
          <w:b/>
          <w:kern w:val="2"/>
          <w:sz w:val="44"/>
          <w:szCs w:val="44"/>
        </w:rPr>
        <w:sectPr>
          <w:pgSz w:w="11906" w:h="16838"/>
          <w:pgMar w:top="1440" w:right="1800" w:bottom="1440" w:left="1800" w:header="851" w:footer="992" w:gutter="0"/>
          <w:cols w:space="425" w:num="1"/>
          <w:docGrid w:type="lines" w:linePitch="312" w:charSpace="0"/>
        </w:sectPr>
      </w:pPr>
      <w:r>
        <w:rPr>
          <w:rFonts w:cs="Times New Roman"/>
          <w:b/>
          <w:kern w:val="2"/>
          <w:szCs w:val="30"/>
        </w:rPr>
        <w:t>2023年6月</w:t>
      </w:r>
    </w:p>
    <w:sdt>
      <w:sdtPr>
        <w:rPr>
          <w:rFonts w:ascii="Times New Roman" w:hAnsi="Times New Roman" w:eastAsia="仿宋_GB2312" w:cs="宋体"/>
          <w:color w:val="auto"/>
          <w:sz w:val="30"/>
          <w:szCs w:val="24"/>
          <w:lang w:val="zh-CN"/>
        </w:rPr>
        <w:id w:val="657658646"/>
        <w:docPartObj>
          <w:docPartGallery w:val="Table of Contents"/>
          <w:docPartUnique/>
        </w:docPartObj>
      </w:sdtPr>
      <w:sdtEndPr>
        <w:rPr>
          <w:rFonts w:ascii="Times New Roman" w:hAnsi="Times New Roman" w:eastAsia="仿宋_GB2312" w:cs="Times New Roman"/>
          <w:b/>
          <w:bCs/>
          <w:color w:val="auto"/>
          <w:sz w:val="24"/>
          <w:szCs w:val="24"/>
          <w:lang w:val="zh-CN"/>
        </w:rPr>
      </w:sdtEndPr>
      <w:sdtContent>
        <w:p>
          <w:pPr>
            <w:pStyle w:val="21"/>
            <w:adjustRightInd w:val="0"/>
            <w:snapToGrid w:val="0"/>
            <w:spacing w:line="360" w:lineRule="auto"/>
            <w:jc w:val="center"/>
            <w:rPr>
              <w:rFonts w:ascii="Times New Roman" w:hAnsi="Times New Roman" w:eastAsia="仿宋_GB2312" w:cs="Times New Roman"/>
              <w:b/>
              <w:bCs/>
              <w:color w:val="auto"/>
              <w:sz w:val="36"/>
              <w:szCs w:val="36"/>
            </w:rPr>
          </w:pPr>
          <w:r>
            <w:rPr>
              <w:rFonts w:ascii="Times New Roman" w:hAnsi="Times New Roman" w:eastAsia="仿宋_GB2312" w:cs="Times New Roman"/>
              <w:b/>
              <w:bCs/>
              <w:color w:val="auto"/>
              <w:sz w:val="36"/>
              <w:szCs w:val="36"/>
              <w:lang w:val="zh-CN"/>
            </w:rPr>
            <w:t>目</w:t>
          </w:r>
          <w:r>
            <w:rPr>
              <w:rFonts w:hint="eastAsia" w:ascii="Times New Roman" w:hAnsi="Times New Roman" w:eastAsia="仿宋_GB2312" w:cs="Times New Roman"/>
              <w:b/>
              <w:bCs/>
              <w:color w:val="auto"/>
              <w:sz w:val="36"/>
              <w:szCs w:val="36"/>
            </w:rPr>
            <w:t xml:space="preserve"> </w:t>
          </w:r>
          <w:r>
            <w:rPr>
              <w:rFonts w:ascii="Times New Roman" w:hAnsi="Times New Roman" w:eastAsia="仿宋_GB2312" w:cs="Times New Roman"/>
              <w:b/>
              <w:bCs/>
              <w:color w:val="auto"/>
              <w:sz w:val="36"/>
              <w:szCs w:val="36"/>
              <w:lang w:val="zh-CN"/>
            </w:rPr>
            <w:t>录</w:t>
          </w:r>
        </w:p>
        <w:p>
          <w:pPr>
            <w:pStyle w:val="9"/>
            <w:rPr>
              <w:rFonts w:ascii="Times New Roman" w:hAnsi="Times New Roman" w:eastAsia="仿宋_GB2312"/>
              <w:b w:val="0"/>
              <w:bCs w:val="0"/>
              <w:kern w:val="2"/>
              <w:sz w:val="24"/>
              <w:szCs w:val="24"/>
            </w:rPr>
          </w:pP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TOC \o "1-3" \h \z \u </w:instrText>
          </w:r>
          <w:r>
            <w:rPr>
              <w:rFonts w:ascii="Times New Roman" w:hAnsi="Times New Roman" w:eastAsia="仿宋_GB2312"/>
              <w:sz w:val="24"/>
              <w:szCs w:val="24"/>
            </w:rPr>
            <w:fldChar w:fldCharType="separate"/>
          </w:r>
          <w:r>
            <w:fldChar w:fldCharType="begin"/>
          </w:r>
          <w:r>
            <w:instrText xml:space="preserve"> HYPERLINK \l "_Toc123548267" </w:instrText>
          </w:r>
          <w:r>
            <w:fldChar w:fldCharType="separate"/>
          </w:r>
          <w:r>
            <w:rPr>
              <w:rStyle w:val="14"/>
              <w:rFonts w:ascii="Times New Roman" w:hAnsi="Times New Roman" w:eastAsia="仿宋_GB2312"/>
              <w:color w:val="auto"/>
              <w:sz w:val="24"/>
              <w:szCs w:val="24"/>
            </w:rPr>
            <w:t>第一章  生态环境保护成就与形势</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_Toc123548267 \h </w:instrText>
          </w:r>
          <w:r>
            <w:rPr>
              <w:rFonts w:ascii="Times New Roman" w:hAnsi="Times New Roman" w:eastAsia="仿宋_GB2312"/>
              <w:sz w:val="24"/>
              <w:szCs w:val="24"/>
            </w:rPr>
            <w:fldChar w:fldCharType="separate"/>
          </w:r>
          <w:r>
            <w:rPr>
              <w:rFonts w:ascii="Times New Roman" w:hAnsi="Times New Roman" w:eastAsia="仿宋_GB2312"/>
              <w:sz w:val="24"/>
              <w:szCs w:val="24"/>
            </w:rPr>
            <w:t>1</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"_Toc123548268" </w:instrText>
          </w:r>
          <w:r>
            <w:fldChar w:fldCharType="separate"/>
          </w:r>
          <w:r>
            <w:rPr>
              <w:rStyle w:val="14"/>
              <w:rFonts w:ascii="Times New Roman" w:hAnsi="Times New Roman" w:eastAsia="仿宋_GB2312"/>
              <w:color w:val="auto"/>
              <w:sz w:val="24"/>
              <w:szCs w:val="24"/>
            </w:rPr>
            <w:t>第一节  生态环境保护工作取得新成就</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_Toc123548268 \h </w:instrText>
          </w:r>
          <w:r>
            <w:rPr>
              <w:rFonts w:ascii="Times New Roman" w:hAnsi="Times New Roman" w:eastAsia="仿宋_GB2312"/>
              <w:sz w:val="24"/>
              <w:szCs w:val="24"/>
            </w:rPr>
            <w:fldChar w:fldCharType="separate"/>
          </w:r>
          <w:r>
            <w:rPr>
              <w:rFonts w:ascii="Times New Roman" w:hAnsi="Times New Roman" w:eastAsia="仿宋_GB2312"/>
              <w:sz w:val="24"/>
              <w:szCs w:val="24"/>
            </w:rPr>
            <w:t>1</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"_Toc123548269" </w:instrText>
          </w:r>
          <w:r>
            <w:fldChar w:fldCharType="separate"/>
          </w:r>
          <w:r>
            <w:rPr>
              <w:rStyle w:val="14"/>
              <w:rFonts w:ascii="Times New Roman" w:hAnsi="Times New Roman" w:eastAsia="仿宋_GB2312"/>
              <w:color w:val="auto"/>
              <w:sz w:val="24"/>
              <w:szCs w:val="24"/>
            </w:rPr>
            <w:t>第二节  生态环境保护工作进入新阶段</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_Toc123548269 \h </w:instrText>
          </w:r>
          <w:r>
            <w:rPr>
              <w:rFonts w:ascii="Times New Roman" w:hAnsi="Times New Roman" w:eastAsia="仿宋_GB2312"/>
              <w:sz w:val="24"/>
              <w:szCs w:val="24"/>
            </w:rPr>
            <w:fldChar w:fldCharType="separate"/>
          </w:r>
          <w:r>
            <w:rPr>
              <w:rFonts w:ascii="Times New Roman" w:hAnsi="Times New Roman" w:eastAsia="仿宋_GB2312"/>
              <w:sz w:val="24"/>
              <w:szCs w:val="24"/>
            </w:rPr>
            <w:t>6</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9"/>
            <w:rPr>
              <w:rFonts w:ascii="Times New Roman" w:hAnsi="Times New Roman" w:eastAsia="仿宋_GB2312"/>
              <w:b w:val="0"/>
              <w:bCs w:val="0"/>
              <w:kern w:val="2"/>
              <w:sz w:val="24"/>
              <w:szCs w:val="24"/>
            </w:rPr>
          </w:pPr>
          <w:r>
            <w:fldChar w:fldCharType="begin"/>
          </w:r>
          <w:r>
            <w:instrText xml:space="preserve"> HYPERLINK \l "_Toc123548270" </w:instrText>
          </w:r>
          <w:r>
            <w:fldChar w:fldCharType="separate"/>
          </w:r>
          <w:r>
            <w:rPr>
              <w:rStyle w:val="14"/>
              <w:rFonts w:ascii="Times New Roman" w:hAnsi="Times New Roman" w:eastAsia="仿宋_GB2312"/>
              <w:color w:val="auto"/>
              <w:sz w:val="24"/>
              <w:szCs w:val="24"/>
            </w:rPr>
            <w:t>第二章  指导思想、原则和目标</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_Toc123548270 \h </w:instrText>
          </w:r>
          <w:r>
            <w:rPr>
              <w:rFonts w:ascii="Times New Roman" w:hAnsi="Times New Roman" w:eastAsia="仿宋_GB2312"/>
              <w:sz w:val="24"/>
              <w:szCs w:val="24"/>
            </w:rPr>
            <w:fldChar w:fldCharType="separate"/>
          </w:r>
          <w:r>
            <w:rPr>
              <w:rFonts w:ascii="Times New Roman" w:hAnsi="Times New Roman" w:eastAsia="仿宋_GB2312"/>
              <w:sz w:val="24"/>
              <w:szCs w:val="24"/>
            </w:rPr>
            <w:t>9</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"_Toc123548271" </w:instrText>
          </w:r>
          <w:r>
            <w:fldChar w:fldCharType="separate"/>
          </w:r>
          <w:r>
            <w:rPr>
              <w:rStyle w:val="14"/>
              <w:rFonts w:ascii="Times New Roman" w:hAnsi="Times New Roman" w:eastAsia="仿宋_GB2312"/>
              <w:color w:val="auto"/>
              <w:sz w:val="24"/>
              <w:szCs w:val="24"/>
            </w:rPr>
            <w:t>第一节  指导思想</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_Toc123548271 \h </w:instrText>
          </w:r>
          <w:r>
            <w:rPr>
              <w:rFonts w:ascii="Times New Roman" w:hAnsi="Times New Roman" w:eastAsia="仿宋_GB2312"/>
              <w:sz w:val="24"/>
              <w:szCs w:val="24"/>
            </w:rPr>
            <w:fldChar w:fldCharType="separate"/>
          </w:r>
          <w:r>
            <w:rPr>
              <w:rFonts w:ascii="Times New Roman" w:hAnsi="Times New Roman" w:eastAsia="仿宋_GB2312"/>
              <w:sz w:val="24"/>
              <w:szCs w:val="24"/>
            </w:rPr>
            <w:t>9</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"_Toc123548272" </w:instrText>
          </w:r>
          <w:r>
            <w:fldChar w:fldCharType="separate"/>
          </w:r>
          <w:r>
            <w:rPr>
              <w:rStyle w:val="14"/>
              <w:rFonts w:ascii="Times New Roman" w:hAnsi="Times New Roman" w:eastAsia="仿宋_GB2312"/>
              <w:color w:val="auto"/>
              <w:sz w:val="24"/>
              <w:szCs w:val="24"/>
            </w:rPr>
            <w:t>第二节  基本原则</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_Toc123548272 \h </w:instrText>
          </w:r>
          <w:r>
            <w:rPr>
              <w:rFonts w:ascii="Times New Roman" w:hAnsi="Times New Roman" w:eastAsia="仿宋_GB2312"/>
              <w:sz w:val="24"/>
              <w:szCs w:val="24"/>
            </w:rPr>
            <w:fldChar w:fldCharType="separate"/>
          </w:r>
          <w:r>
            <w:rPr>
              <w:rFonts w:ascii="Times New Roman" w:hAnsi="Times New Roman" w:eastAsia="仿宋_GB2312"/>
              <w:sz w:val="24"/>
              <w:szCs w:val="24"/>
            </w:rPr>
            <w:t>10</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"_Toc123548273" </w:instrText>
          </w:r>
          <w:r>
            <w:fldChar w:fldCharType="separate"/>
          </w:r>
          <w:r>
            <w:rPr>
              <w:rStyle w:val="14"/>
              <w:rFonts w:ascii="Times New Roman" w:hAnsi="Times New Roman" w:eastAsia="仿宋_GB2312"/>
              <w:color w:val="auto"/>
              <w:sz w:val="24"/>
              <w:szCs w:val="24"/>
            </w:rPr>
            <w:t>第三节  主要目标</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_Toc123548273 \h </w:instrText>
          </w:r>
          <w:r>
            <w:rPr>
              <w:rFonts w:ascii="Times New Roman" w:hAnsi="Times New Roman" w:eastAsia="仿宋_GB2312"/>
              <w:sz w:val="24"/>
              <w:szCs w:val="24"/>
            </w:rPr>
            <w:fldChar w:fldCharType="separate"/>
          </w:r>
          <w:r>
            <w:rPr>
              <w:rFonts w:ascii="Times New Roman" w:hAnsi="Times New Roman" w:eastAsia="仿宋_GB2312"/>
              <w:sz w:val="24"/>
              <w:szCs w:val="24"/>
            </w:rPr>
            <w:t>11</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9"/>
            <w:rPr>
              <w:rFonts w:ascii="Times New Roman" w:hAnsi="Times New Roman" w:eastAsia="仿宋_GB2312"/>
              <w:b w:val="0"/>
              <w:bCs w:val="0"/>
              <w:kern w:val="2"/>
              <w:sz w:val="24"/>
              <w:szCs w:val="24"/>
            </w:rPr>
          </w:pPr>
          <w:r>
            <w:fldChar w:fldCharType="begin"/>
          </w:r>
          <w:r>
            <w:instrText xml:space="preserve"> HYPERLINK \l "_Toc123548274" </w:instrText>
          </w:r>
          <w:r>
            <w:fldChar w:fldCharType="separate"/>
          </w:r>
          <w:r>
            <w:rPr>
              <w:rStyle w:val="14"/>
              <w:rFonts w:ascii="Times New Roman" w:hAnsi="Times New Roman" w:eastAsia="仿宋_GB2312"/>
              <w:color w:val="auto"/>
              <w:sz w:val="24"/>
              <w:szCs w:val="24"/>
            </w:rPr>
            <w:t>第三章  强化绿色源头防控，推动绿色低碳发展</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_Toc123548274 \h </w:instrText>
          </w:r>
          <w:r>
            <w:rPr>
              <w:rFonts w:ascii="Times New Roman" w:hAnsi="Times New Roman" w:eastAsia="仿宋_GB2312"/>
              <w:sz w:val="24"/>
              <w:szCs w:val="24"/>
            </w:rPr>
            <w:fldChar w:fldCharType="separate"/>
          </w:r>
          <w:r>
            <w:rPr>
              <w:rFonts w:ascii="Times New Roman" w:hAnsi="Times New Roman" w:eastAsia="仿宋_GB2312"/>
              <w:sz w:val="24"/>
              <w:szCs w:val="24"/>
            </w:rPr>
            <w:t>15</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"_Toc123548275" </w:instrText>
          </w:r>
          <w:r>
            <w:fldChar w:fldCharType="separate"/>
          </w:r>
          <w:r>
            <w:rPr>
              <w:rStyle w:val="14"/>
              <w:rFonts w:ascii="Times New Roman" w:hAnsi="Times New Roman" w:eastAsia="仿宋_GB2312"/>
              <w:color w:val="auto"/>
              <w:sz w:val="24"/>
              <w:szCs w:val="24"/>
            </w:rPr>
            <w:t>第一节  建立国土空间开发新格局</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_Toc123548275 \h </w:instrText>
          </w:r>
          <w:r>
            <w:rPr>
              <w:rFonts w:ascii="Times New Roman" w:hAnsi="Times New Roman" w:eastAsia="仿宋_GB2312"/>
              <w:sz w:val="24"/>
              <w:szCs w:val="24"/>
            </w:rPr>
            <w:fldChar w:fldCharType="separate"/>
          </w:r>
          <w:r>
            <w:rPr>
              <w:rFonts w:ascii="Times New Roman" w:hAnsi="Times New Roman" w:eastAsia="仿宋_GB2312"/>
              <w:sz w:val="24"/>
              <w:szCs w:val="24"/>
            </w:rPr>
            <w:t>15</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"_Toc123548276" </w:instrText>
          </w:r>
          <w:r>
            <w:fldChar w:fldCharType="separate"/>
          </w:r>
          <w:r>
            <w:rPr>
              <w:rStyle w:val="14"/>
              <w:rFonts w:ascii="Times New Roman" w:hAnsi="Times New Roman" w:eastAsia="仿宋_GB2312"/>
              <w:color w:val="auto"/>
              <w:sz w:val="24"/>
              <w:szCs w:val="24"/>
            </w:rPr>
            <w:t>第二节  大力发展绿色产业体系</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_Toc123548276 \h </w:instrText>
          </w:r>
          <w:r>
            <w:rPr>
              <w:rFonts w:ascii="Times New Roman" w:hAnsi="Times New Roman" w:eastAsia="仿宋_GB2312"/>
              <w:sz w:val="24"/>
              <w:szCs w:val="24"/>
            </w:rPr>
            <w:fldChar w:fldCharType="separate"/>
          </w:r>
          <w:r>
            <w:rPr>
              <w:rFonts w:ascii="Times New Roman" w:hAnsi="Times New Roman" w:eastAsia="仿宋_GB2312"/>
              <w:sz w:val="24"/>
              <w:szCs w:val="24"/>
            </w:rPr>
            <w:t>15</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"_Toc123548277" </w:instrText>
          </w:r>
          <w:r>
            <w:fldChar w:fldCharType="separate"/>
          </w:r>
          <w:r>
            <w:rPr>
              <w:rStyle w:val="14"/>
              <w:rFonts w:ascii="Times New Roman" w:hAnsi="Times New Roman" w:eastAsia="仿宋_GB2312"/>
              <w:color w:val="auto"/>
              <w:sz w:val="24"/>
              <w:szCs w:val="24"/>
            </w:rPr>
            <w:t>第三节  全面落实生态环境分区管控</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_Toc123548277 \h </w:instrText>
          </w:r>
          <w:r>
            <w:rPr>
              <w:rFonts w:ascii="Times New Roman" w:hAnsi="Times New Roman" w:eastAsia="仿宋_GB2312"/>
              <w:sz w:val="24"/>
              <w:szCs w:val="24"/>
            </w:rPr>
            <w:fldChar w:fldCharType="separate"/>
          </w:r>
          <w:r>
            <w:rPr>
              <w:rFonts w:ascii="Times New Roman" w:hAnsi="Times New Roman" w:eastAsia="仿宋_GB2312"/>
              <w:sz w:val="24"/>
              <w:szCs w:val="24"/>
            </w:rPr>
            <w:t>16</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"_Toc123548278" </w:instrText>
          </w:r>
          <w:r>
            <w:fldChar w:fldCharType="separate"/>
          </w:r>
          <w:r>
            <w:rPr>
              <w:rStyle w:val="14"/>
              <w:rFonts w:ascii="Times New Roman" w:hAnsi="Times New Roman" w:eastAsia="仿宋_GB2312"/>
              <w:color w:val="auto"/>
              <w:sz w:val="24"/>
              <w:szCs w:val="24"/>
            </w:rPr>
            <w:t>第四节  加快产业结构升级</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_Toc123548278 \h </w:instrText>
          </w:r>
          <w:r>
            <w:rPr>
              <w:rFonts w:ascii="Times New Roman" w:hAnsi="Times New Roman" w:eastAsia="仿宋_GB2312"/>
              <w:sz w:val="24"/>
              <w:szCs w:val="24"/>
            </w:rPr>
            <w:fldChar w:fldCharType="separate"/>
          </w:r>
          <w:r>
            <w:rPr>
              <w:rFonts w:ascii="Times New Roman" w:hAnsi="Times New Roman" w:eastAsia="仿宋_GB2312"/>
              <w:sz w:val="24"/>
              <w:szCs w:val="24"/>
            </w:rPr>
            <w:t>17</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"_Toc123548279" </w:instrText>
          </w:r>
          <w:r>
            <w:fldChar w:fldCharType="separate"/>
          </w:r>
          <w:r>
            <w:rPr>
              <w:rStyle w:val="14"/>
              <w:rFonts w:ascii="Times New Roman" w:hAnsi="Times New Roman" w:eastAsia="仿宋_GB2312"/>
              <w:color w:val="auto"/>
              <w:sz w:val="24"/>
              <w:szCs w:val="24"/>
            </w:rPr>
            <w:t>第五节  大力发展清洁能源</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_Toc123548279 \h </w:instrText>
          </w:r>
          <w:r>
            <w:rPr>
              <w:rFonts w:ascii="Times New Roman" w:hAnsi="Times New Roman" w:eastAsia="仿宋_GB2312"/>
              <w:sz w:val="24"/>
              <w:szCs w:val="24"/>
            </w:rPr>
            <w:fldChar w:fldCharType="separate"/>
          </w:r>
          <w:r>
            <w:rPr>
              <w:rFonts w:ascii="Times New Roman" w:hAnsi="Times New Roman" w:eastAsia="仿宋_GB2312"/>
              <w:sz w:val="24"/>
              <w:szCs w:val="24"/>
            </w:rPr>
            <w:t>18</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"_Toc123548280" </w:instrText>
          </w:r>
          <w:r>
            <w:fldChar w:fldCharType="separate"/>
          </w:r>
          <w:r>
            <w:rPr>
              <w:rStyle w:val="14"/>
              <w:rFonts w:ascii="Times New Roman" w:hAnsi="Times New Roman" w:eastAsia="仿宋_GB2312"/>
              <w:color w:val="auto"/>
              <w:sz w:val="24"/>
              <w:szCs w:val="24"/>
            </w:rPr>
            <w:t>第六节  构建绿色交通体系</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_Toc123548280 \h </w:instrText>
          </w:r>
          <w:r>
            <w:rPr>
              <w:rFonts w:ascii="Times New Roman" w:hAnsi="Times New Roman" w:eastAsia="仿宋_GB2312"/>
              <w:sz w:val="24"/>
              <w:szCs w:val="24"/>
            </w:rPr>
            <w:fldChar w:fldCharType="separate"/>
          </w:r>
          <w:r>
            <w:rPr>
              <w:rFonts w:ascii="Times New Roman" w:hAnsi="Times New Roman" w:eastAsia="仿宋_GB2312"/>
              <w:sz w:val="24"/>
              <w:szCs w:val="24"/>
            </w:rPr>
            <w:t>18</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"_Toc123548281" </w:instrText>
          </w:r>
          <w:r>
            <w:fldChar w:fldCharType="separate"/>
          </w:r>
          <w:r>
            <w:rPr>
              <w:rStyle w:val="14"/>
              <w:rFonts w:ascii="Times New Roman" w:hAnsi="Times New Roman" w:eastAsia="仿宋_GB2312"/>
              <w:color w:val="auto"/>
              <w:sz w:val="24"/>
              <w:szCs w:val="24"/>
            </w:rPr>
            <w:t>第七节  推行绿色低碳生活方式</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_Toc123548281 \h </w:instrText>
          </w:r>
          <w:r>
            <w:rPr>
              <w:rFonts w:ascii="Times New Roman" w:hAnsi="Times New Roman" w:eastAsia="仿宋_GB2312"/>
              <w:sz w:val="24"/>
              <w:szCs w:val="24"/>
            </w:rPr>
            <w:fldChar w:fldCharType="separate"/>
          </w:r>
          <w:r>
            <w:rPr>
              <w:rFonts w:ascii="Times New Roman" w:hAnsi="Times New Roman" w:eastAsia="仿宋_GB2312"/>
              <w:sz w:val="24"/>
              <w:szCs w:val="24"/>
            </w:rPr>
            <w:t>19</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9"/>
            <w:rPr>
              <w:rFonts w:ascii="Times New Roman" w:hAnsi="Times New Roman" w:eastAsia="仿宋_GB2312"/>
              <w:b w:val="0"/>
              <w:bCs w:val="0"/>
              <w:kern w:val="2"/>
              <w:sz w:val="24"/>
              <w:szCs w:val="24"/>
            </w:rPr>
          </w:pPr>
          <w:r>
            <w:fldChar w:fldCharType="begin"/>
          </w:r>
          <w:r>
            <w:instrText xml:space="preserve"> HYPERLINK \l "_Toc123548282" </w:instrText>
          </w:r>
          <w:r>
            <w:fldChar w:fldCharType="separate"/>
          </w:r>
          <w:r>
            <w:rPr>
              <w:rStyle w:val="14"/>
              <w:rFonts w:ascii="Times New Roman" w:hAnsi="Times New Roman" w:eastAsia="仿宋_GB2312"/>
              <w:color w:val="auto"/>
              <w:sz w:val="24"/>
              <w:szCs w:val="24"/>
            </w:rPr>
            <w:t>第四章  控制温室气体排放，积极应对气候变化</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_Toc123548282 \h </w:instrText>
          </w:r>
          <w:r>
            <w:rPr>
              <w:rFonts w:ascii="Times New Roman" w:hAnsi="Times New Roman" w:eastAsia="仿宋_GB2312"/>
              <w:sz w:val="24"/>
              <w:szCs w:val="24"/>
            </w:rPr>
            <w:fldChar w:fldCharType="separate"/>
          </w:r>
          <w:r>
            <w:rPr>
              <w:rFonts w:ascii="Times New Roman" w:hAnsi="Times New Roman" w:eastAsia="仿宋_GB2312"/>
              <w:sz w:val="24"/>
              <w:szCs w:val="24"/>
            </w:rPr>
            <w:t>21</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"_Toc123548283" </w:instrText>
          </w:r>
          <w:r>
            <w:fldChar w:fldCharType="separate"/>
          </w:r>
          <w:r>
            <w:rPr>
              <w:rStyle w:val="14"/>
              <w:rFonts w:ascii="Times New Roman" w:hAnsi="Times New Roman" w:eastAsia="仿宋_GB2312"/>
              <w:color w:val="auto"/>
              <w:sz w:val="24"/>
              <w:szCs w:val="24"/>
            </w:rPr>
            <w:t>第一节  开展碳排放达峰行动</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_Toc123548283 \h </w:instrText>
          </w:r>
          <w:r>
            <w:rPr>
              <w:rFonts w:ascii="Times New Roman" w:hAnsi="Times New Roman" w:eastAsia="仿宋_GB2312"/>
              <w:sz w:val="24"/>
              <w:szCs w:val="24"/>
            </w:rPr>
            <w:fldChar w:fldCharType="separate"/>
          </w:r>
          <w:r>
            <w:rPr>
              <w:rFonts w:ascii="Times New Roman" w:hAnsi="Times New Roman" w:eastAsia="仿宋_GB2312"/>
              <w:sz w:val="24"/>
              <w:szCs w:val="24"/>
            </w:rPr>
            <w:t>21</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"_Toc123548284" </w:instrText>
          </w:r>
          <w:r>
            <w:fldChar w:fldCharType="separate"/>
          </w:r>
          <w:r>
            <w:rPr>
              <w:rStyle w:val="14"/>
              <w:rFonts w:ascii="Times New Roman" w:hAnsi="Times New Roman" w:eastAsia="仿宋_GB2312"/>
              <w:color w:val="auto"/>
              <w:sz w:val="24"/>
              <w:szCs w:val="24"/>
            </w:rPr>
            <w:t>第二节  积极适应气候变化</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_Toc123548284 \h </w:instrText>
          </w:r>
          <w:r>
            <w:rPr>
              <w:rFonts w:ascii="Times New Roman" w:hAnsi="Times New Roman" w:eastAsia="仿宋_GB2312"/>
              <w:sz w:val="24"/>
              <w:szCs w:val="24"/>
            </w:rPr>
            <w:fldChar w:fldCharType="separate"/>
          </w:r>
          <w:r>
            <w:rPr>
              <w:rFonts w:ascii="Times New Roman" w:hAnsi="Times New Roman" w:eastAsia="仿宋_GB2312"/>
              <w:sz w:val="24"/>
              <w:szCs w:val="24"/>
            </w:rPr>
            <w:t>23</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"_Toc123548285" </w:instrText>
          </w:r>
          <w:r>
            <w:fldChar w:fldCharType="separate"/>
          </w:r>
          <w:r>
            <w:rPr>
              <w:rStyle w:val="14"/>
              <w:rFonts w:ascii="Times New Roman" w:hAnsi="Times New Roman" w:eastAsia="仿宋_GB2312"/>
              <w:color w:val="auto"/>
              <w:sz w:val="24"/>
              <w:szCs w:val="24"/>
            </w:rPr>
            <w:t>第三节  加强应对气候变化管理</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_Toc123548285 \h </w:instrText>
          </w:r>
          <w:r>
            <w:rPr>
              <w:rFonts w:ascii="Times New Roman" w:hAnsi="Times New Roman" w:eastAsia="仿宋_GB2312"/>
              <w:sz w:val="24"/>
              <w:szCs w:val="24"/>
            </w:rPr>
            <w:fldChar w:fldCharType="separate"/>
          </w:r>
          <w:r>
            <w:rPr>
              <w:rFonts w:ascii="Times New Roman" w:hAnsi="Times New Roman" w:eastAsia="仿宋_GB2312"/>
              <w:sz w:val="24"/>
              <w:szCs w:val="24"/>
            </w:rPr>
            <w:t>24</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9"/>
            <w:rPr>
              <w:rFonts w:ascii="Times New Roman" w:hAnsi="Times New Roman" w:eastAsia="仿宋_GB2312"/>
              <w:b w:val="0"/>
              <w:bCs w:val="0"/>
              <w:kern w:val="2"/>
              <w:sz w:val="24"/>
              <w:szCs w:val="24"/>
            </w:rPr>
          </w:pPr>
          <w:r>
            <w:fldChar w:fldCharType="begin"/>
          </w:r>
          <w:r>
            <w:instrText xml:space="preserve"> HYPERLINK \l "_Toc123548286" </w:instrText>
          </w:r>
          <w:r>
            <w:fldChar w:fldCharType="separate"/>
          </w:r>
          <w:r>
            <w:rPr>
              <w:rStyle w:val="14"/>
              <w:rFonts w:ascii="Times New Roman" w:hAnsi="Times New Roman" w:eastAsia="仿宋_GB2312"/>
              <w:color w:val="auto"/>
              <w:sz w:val="24"/>
              <w:szCs w:val="24"/>
            </w:rPr>
            <w:t>第五章  加强协同控制，持续改善大气环境</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_Toc123548286 \h </w:instrText>
          </w:r>
          <w:r>
            <w:rPr>
              <w:rFonts w:ascii="Times New Roman" w:hAnsi="Times New Roman" w:eastAsia="仿宋_GB2312"/>
              <w:sz w:val="24"/>
              <w:szCs w:val="24"/>
            </w:rPr>
            <w:fldChar w:fldCharType="separate"/>
          </w:r>
          <w:r>
            <w:rPr>
              <w:rFonts w:ascii="Times New Roman" w:hAnsi="Times New Roman" w:eastAsia="仿宋_GB2312"/>
              <w:sz w:val="24"/>
              <w:szCs w:val="24"/>
            </w:rPr>
            <w:t>25</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"_Toc123548287" </w:instrText>
          </w:r>
          <w:r>
            <w:fldChar w:fldCharType="separate"/>
          </w:r>
          <w:r>
            <w:rPr>
              <w:rStyle w:val="14"/>
              <w:rFonts w:ascii="Times New Roman" w:hAnsi="Times New Roman" w:eastAsia="仿宋_GB2312"/>
              <w:color w:val="auto"/>
              <w:sz w:val="24"/>
              <w:szCs w:val="24"/>
            </w:rPr>
            <w:t>第一节  开展多污染物协同控制</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_Toc123548287 \h </w:instrText>
          </w:r>
          <w:r>
            <w:rPr>
              <w:rFonts w:ascii="Times New Roman" w:hAnsi="Times New Roman" w:eastAsia="仿宋_GB2312"/>
              <w:sz w:val="24"/>
              <w:szCs w:val="24"/>
            </w:rPr>
            <w:fldChar w:fldCharType="separate"/>
          </w:r>
          <w:r>
            <w:rPr>
              <w:rFonts w:ascii="Times New Roman" w:hAnsi="Times New Roman" w:eastAsia="仿宋_GB2312"/>
              <w:sz w:val="24"/>
              <w:szCs w:val="24"/>
            </w:rPr>
            <w:t>25</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"_Toc123548288" </w:instrText>
          </w:r>
          <w:r>
            <w:fldChar w:fldCharType="separate"/>
          </w:r>
          <w:r>
            <w:rPr>
              <w:rStyle w:val="14"/>
              <w:rFonts w:ascii="Times New Roman" w:hAnsi="Times New Roman" w:eastAsia="仿宋_GB2312"/>
              <w:color w:val="auto"/>
              <w:sz w:val="24"/>
              <w:szCs w:val="24"/>
            </w:rPr>
            <w:t>第二节  持续推进重点污染源治理</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_Toc123548288 \h </w:instrText>
          </w:r>
          <w:r>
            <w:rPr>
              <w:rFonts w:ascii="Times New Roman" w:hAnsi="Times New Roman" w:eastAsia="仿宋_GB2312"/>
              <w:sz w:val="24"/>
              <w:szCs w:val="24"/>
            </w:rPr>
            <w:fldChar w:fldCharType="separate"/>
          </w:r>
          <w:r>
            <w:rPr>
              <w:rFonts w:ascii="Times New Roman" w:hAnsi="Times New Roman" w:eastAsia="仿宋_GB2312"/>
              <w:sz w:val="24"/>
              <w:szCs w:val="24"/>
            </w:rPr>
            <w:t>26</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"_Toc123548289" </w:instrText>
          </w:r>
          <w:r>
            <w:fldChar w:fldCharType="separate"/>
          </w:r>
          <w:r>
            <w:rPr>
              <w:rStyle w:val="14"/>
              <w:rFonts w:ascii="Times New Roman" w:hAnsi="Times New Roman" w:eastAsia="仿宋_GB2312"/>
              <w:color w:val="auto"/>
              <w:sz w:val="24"/>
              <w:szCs w:val="24"/>
            </w:rPr>
            <w:t>第三节  加强重污染天气应急响应</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_Toc123548289 \h </w:instrText>
          </w:r>
          <w:r>
            <w:rPr>
              <w:rFonts w:ascii="Times New Roman" w:hAnsi="Times New Roman" w:eastAsia="仿宋_GB2312"/>
              <w:sz w:val="24"/>
              <w:szCs w:val="24"/>
            </w:rPr>
            <w:fldChar w:fldCharType="separate"/>
          </w:r>
          <w:r>
            <w:rPr>
              <w:rFonts w:ascii="Times New Roman" w:hAnsi="Times New Roman" w:eastAsia="仿宋_GB2312"/>
              <w:sz w:val="24"/>
              <w:szCs w:val="24"/>
            </w:rPr>
            <w:t>27</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"_Toc123548290" </w:instrText>
          </w:r>
          <w:r>
            <w:fldChar w:fldCharType="separate"/>
          </w:r>
          <w:r>
            <w:rPr>
              <w:rStyle w:val="14"/>
              <w:rFonts w:ascii="Times New Roman" w:hAnsi="Times New Roman" w:eastAsia="仿宋_GB2312"/>
              <w:color w:val="auto"/>
              <w:sz w:val="24"/>
              <w:szCs w:val="24"/>
            </w:rPr>
            <w:t>第四节  强化声环境质量管理</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_Toc123548290 \h </w:instrText>
          </w:r>
          <w:r>
            <w:rPr>
              <w:rFonts w:ascii="Times New Roman" w:hAnsi="Times New Roman" w:eastAsia="仿宋_GB2312"/>
              <w:sz w:val="24"/>
              <w:szCs w:val="24"/>
            </w:rPr>
            <w:fldChar w:fldCharType="separate"/>
          </w:r>
          <w:r>
            <w:rPr>
              <w:rFonts w:ascii="Times New Roman" w:hAnsi="Times New Roman" w:eastAsia="仿宋_GB2312"/>
              <w:sz w:val="24"/>
              <w:szCs w:val="24"/>
            </w:rPr>
            <w:t>28</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9"/>
            <w:rPr>
              <w:rFonts w:ascii="Times New Roman" w:hAnsi="Times New Roman" w:eastAsia="仿宋_GB2312"/>
              <w:b w:val="0"/>
              <w:bCs w:val="0"/>
              <w:kern w:val="2"/>
              <w:sz w:val="24"/>
              <w:szCs w:val="24"/>
            </w:rPr>
          </w:pPr>
          <w:r>
            <w:fldChar w:fldCharType="begin"/>
          </w:r>
          <w:r>
            <w:instrText xml:space="preserve"> HYPERLINK \l "_Toc123548291" </w:instrText>
          </w:r>
          <w:r>
            <w:fldChar w:fldCharType="separate"/>
          </w:r>
          <w:r>
            <w:rPr>
              <w:rStyle w:val="14"/>
              <w:rFonts w:ascii="Times New Roman" w:hAnsi="Times New Roman" w:eastAsia="仿宋_GB2312"/>
              <w:color w:val="auto"/>
              <w:sz w:val="24"/>
              <w:szCs w:val="24"/>
            </w:rPr>
            <w:t>第六章  强化统筹治理，深入推进水生态环境保护</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_Toc123548291 \h </w:instrText>
          </w:r>
          <w:r>
            <w:rPr>
              <w:rFonts w:ascii="Times New Roman" w:hAnsi="Times New Roman" w:eastAsia="仿宋_GB2312"/>
              <w:sz w:val="24"/>
              <w:szCs w:val="24"/>
            </w:rPr>
            <w:fldChar w:fldCharType="separate"/>
          </w:r>
          <w:r>
            <w:rPr>
              <w:rFonts w:ascii="Times New Roman" w:hAnsi="Times New Roman" w:eastAsia="仿宋_GB2312"/>
              <w:sz w:val="24"/>
              <w:szCs w:val="24"/>
            </w:rPr>
            <w:t>29</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"_Toc123548292" </w:instrText>
          </w:r>
          <w:r>
            <w:fldChar w:fldCharType="separate"/>
          </w:r>
          <w:r>
            <w:rPr>
              <w:rStyle w:val="14"/>
              <w:rFonts w:ascii="Times New Roman" w:hAnsi="Times New Roman" w:eastAsia="仿宋_GB2312"/>
              <w:color w:val="auto"/>
              <w:sz w:val="24"/>
              <w:szCs w:val="24"/>
            </w:rPr>
            <w:t>第一节  强化“三水”统筹管理</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_Toc123548292 \h </w:instrText>
          </w:r>
          <w:r>
            <w:rPr>
              <w:rFonts w:ascii="Times New Roman" w:hAnsi="Times New Roman" w:eastAsia="仿宋_GB2312"/>
              <w:sz w:val="24"/>
              <w:szCs w:val="24"/>
            </w:rPr>
            <w:fldChar w:fldCharType="separate"/>
          </w:r>
          <w:r>
            <w:rPr>
              <w:rFonts w:ascii="Times New Roman" w:hAnsi="Times New Roman" w:eastAsia="仿宋_GB2312"/>
              <w:sz w:val="24"/>
              <w:szCs w:val="24"/>
            </w:rPr>
            <w:t>29</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"_Toc123548293" </w:instrText>
          </w:r>
          <w:r>
            <w:fldChar w:fldCharType="separate"/>
          </w:r>
          <w:r>
            <w:rPr>
              <w:rStyle w:val="14"/>
              <w:rFonts w:ascii="Times New Roman" w:hAnsi="Times New Roman" w:eastAsia="仿宋_GB2312"/>
              <w:color w:val="auto"/>
              <w:sz w:val="24"/>
              <w:szCs w:val="24"/>
            </w:rPr>
            <w:t>第二节  提升水环境安全保障水平</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_Toc123548293 \h </w:instrText>
          </w:r>
          <w:r>
            <w:rPr>
              <w:rFonts w:ascii="Times New Roman" w:hAnsi="Times New Roman" w:eastAsia="仿宋_GB2312"/>
              <w:sz w:val="24"/>
              <w:szCs w:val="24"/>
            </w:rPr>
            <w:fldChar w:fldCharType="separate"/>
          </w:r>
          <w:r>
            <w:rPr>
              <w:rFonts w:ascii="Times New Roman" w:hAnsi="Times New Roman" w:eastAsia="仿宋_GB2312"/>
              <w:sz w:val="24"/>
              <w:szCs w:val="24"/>
            </w:rPr>
            <w:t>30</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"_Toc123548294" </w:instrText>
          </w:r>
          <w:r>
            <w:fldChar w:fldCharType="separate"/>
          </w:r>
          <w:r>
            <w:rPr>
              <w:rStyle w:val="14"/>
              <w:rFonts w:ascii="Times New Roman" w:hAnsi="Times New Roman" w:eastAsia="仿宋_GB2312"/>
              <w:color w:val="auto"/>
              <w:sz w:val="24"/>
              <w:szCs w:val="24"/>
            </w:rPr>
            <w:t>第三节  开展“美丽河湖”建设</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_Toc123548294 \h </w:instrText>
          </w:r>
          <w:r>
            <w:rPr>
              <w:rFonts w:ascii="Times New Roman" w:hAnsi="Times New Roman" w:eastAsia="仿宋_GB2312"/>
              <w:sz w:val="24"/>
              <w:szCs w:val="24"/>
            </w:rPr>
            <w:fldChar w:fldCharType="separate"/>
          </w:r>
          <w:r>
            <w:rPr>
              <w:rFonts w:ascii="Times New Roman" w:hAnsi="Times New Roman" w:eastAsia="仿宋_GB2312"/>
              <w:sz w:val="24"/>
              <w:szCs w:val="24"/>
            </w:rPr>
            <w:t>31</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"_Toc123548295" </w:instrText>
          </w:r>
          <w:r>
            <w:fldChar w:fldCharType="separate"/>
          </w:r>
          <w:r>
            <w:rPr>
              <w:rStyle w:val="14"/>
              <w:rFonts w:ascii="Times New Roman" w:hAnsi="Times New Roman" w:eastAsia="仿宋_GB2312"/>
              <w:color w:val="auto"/>
              <w:sz w:val="24"/>
              <w:szCs w:val="24"/>
            </w:rPr>
            <w:t>第四节  深化“多源”同治</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_Toc123548295 \h </w:instrText>
          </w:r>
          <w:r>
            <w:rPr>
              <w:rFonts w:ascii="Times New Roman" w:hAnsi="Times New Roman" w:eastAsia="仿宋_GB2312"/>
              <w:sz w:val="24"/>
              <w:szCs w:val="24"/>
            </w:rPr>
            <w:fldChar w:fldCharType="separate"/>
          </w:r>
          <w:r>
            <w:rPr>
              <w:rFonts w:ascii="Times New Roman" w:hAnsi="Times New Roman" w:eastAsia="仿宋_GB2312"/>
              <w:sz w:val="24"/>
              <w:szCs w:val="24"/>
            </w:rPr>
            <w:t>31</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9"/>
            <w:rPr>
              <w:rFonts w:ascii="Times New Roman" w:hAnsi="Times New Roman" w:eastAsia="仿宋_GB2312"/>
              <w:b w:val="0"/>
              <w:bCs w:val="0"/>
              <w:kern w:val="2"/>
              <w:sz w:val="24"/>
              <w:szCs w:val="24"/>
            </w:rPr>
          </w:pPr>
          <w:r>
            <w:fldChar w:fldCharType="begin"/>
          </w:r>
          <w:r>
            <w:instrText xml:space="preserve"> HYPERLINK \l "_Toc123548296" </w:instrText>
          </w:r>
          <w:r>
            <w:fldChar w:fldCharType="separate"/>
          </w:r>
          <w:r>
            <w:rPr>
              <w:rStyle w:val="14"/>
              <w:rFonts w:ascii="Times New Roman" w:hAnsi="Times New Roman" w:eastAsia="仿宋_GB2312"/>
              <w:color w:val="auto"/>
              <w:sz w:val="24"/>
              <w:szCs w:val="24"/>
            </w:rPr>
            <w:t>第七章  加强系统防控，改善土壤环境治理</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_Toc123548296 \h </w:instrText>
          </w:r>
          <w:r>
            <w:rPr>
              <w:rFonts w:ascii="Times New Roman" w:hAnsi="Times New Roman" w:eastAsia="仿宋_GB2312"/>
              <w:sz w:val="24"/>
              <w:szCs w:val="24"/>
            </w:rPr>
            <w:fldChar w:fldCharType="separate"/>
          </w:r>
          <w:r>
            <w:rPr>
              <w:rFonts w:ascii="Times New Roman" w:hAnsi="Times New Roman" w:eastAsia="仿宋_GB2312"/>
              <w:sz w:val="24"/>
              <w:szCs w:val="24"/>
            </w:rPr>
            <w:t>33</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"_Toc123548297" </w:instrText>
          </w:r>
          <w:r>
            <w:fldChar w:fldCharType="separate"/>
          </w:r>
          <w:r>
            <w:rPr>
              <w:rStyle w:val="14"/>
              <w:rFonts w:ascii="Times New Roman" w:hAnsi="Times New Roman" w:eastAsia="仿宋_GB2312"/>
              <w:color w:val="auto"/>
              <w:sz w:val="24"/>
              <w:szCs w:val="24"/>
            </w:rPr>
            <w:t>第一节  加强土壤生态环境保护</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_Toc123548297 \h </w:instrText>
          </w:r>
          <w:r>
            <w:rPr>
              <w:rFonts w:ascii="Times New Roman" w:hAnsi="Times New Roman" w:eastAsia="仿宋_GB2312"/>
              <w:sz w:val="24"/>
              <w:szCs w:val="24"/>
            </w:rPr>
            <w:fldChar w:fldCharType="separate"/>
          </w:r>
          <w:r>
            <w:rPr>
              <w:rFonts w:ascii="Times New Roman" w:hAnsi="Times New Roman" w:eastAsia="仿宋_GB2312"/>
              <w:sz w:val="24"/>
              <w:szCs w:val="24"/>
            </w:rPr>
            <w:t>33</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"_Toc123548298" </w:instrText>
          </w:r>
          <w:r>
            <w:fldChar w:fldCharType="separate"/>
          </w:r>
          <w:r>
            <w:rPr>
              <w:rStyle w:val="14"/>
              <w:rFonts w:ascii="Times New Roman" w:hAnsi="Times New Roman" w:eastAsia="仿宋_GB2312"/>
              <w:color w:val="auto"/>
              <w:sz w:val="24"/>
              <w:szCs w:val="24"/>
            </w:rPr>
            <w:t>第二节  推进地下水生态环境保护</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_Toc123548298 \h </w:instrText>
          </w:r>
          <w:r>
            <w:rPr>
              <w:rFonts w:ascii="Times New Roman" w:hAnsi="Times New Roman" w:eastAsia="仿宋_GB2312"/>
              <w:sz w:val="24"/>
              <w:szCs w:val="24"/>
            </w:rPr>
            <w:fldChar w:fldCharType="separate"/>
          </w:r>
          <w:r>
            <w:rPr>
              <w:rFonts w:ascii="Times New Roman" w:hAnsi="Times New Roman" w:eastAsia="仿宋_GB2312"/>
              <w:sz w:val="24"/>
              <w:szCs w:val="24"/>
            </w:rPr>
            <w:t>34</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9"/>
            <w:rPr>
              <w:rFonts w:ascii="Times New Roman" w:hAnsi="Times New Roman" w:eastAsia="仿宋_GB2312"/>
              <w:b w:val="0"/>
              <w:bCs w:val="0"/>
              <w:kern w:val="2"/>
              <w:sz w:val="24"/>
              <w:szCs w:val="24"/>
            </w:rPr>
          </w:pPr>
          <w:r>
            <w:fldChar w:fldCharType="begin"/>
          </w:r>
          <w:r>
            <w:instrText xml:space="preserve"> HYPERLINK \l "_Toc123548299" </w:instrText>
          </w:r>
          <w:r>
            <w:fldChar w:fldCharType="separate"/>
          </w:r>
          <w:r>
            <w:rPr>
              <w:rStyle w:val="14"/>
              <w:rFonts w:ascii="Times New Roman" w:hAnsi="Times New Roman" w:eastAsia="仿宋_GB2312"/>
              <w:color w:val="auto"/>
              <w:sz w:val="24"/>
              <w:szCs w:val="24"/>
            </w:rPr>
            <w:t>第八章  加强生态保护监管，筑牢北方生态安全屏障</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_Toc123548299 \h </w:instrText>
          </w:r>
          <w:r>
            <w:rPr>
              <w:rFonts w:ascii="Times New Roman" w:hAnsi="Times New Roman" w:eastAsia="仿宋_GB2312"/>
              <w:sz w:val="24"/>
              <w:szCs w:val="24"/>
            </w:rPr>
            <w:fldChar w:fldCharType="separate"/>
          </w:r>
          <w:r>
            <w:rPr>
              <w:rFonts w:ascii="Times New Roman" w:hAnsi="Times New Roman" w:eastAsia="仿宋_GB2312"/>
              <w:sz w:val="24"/>
              <w:szCs w:val="24"/>
            </w:rPr>
            <w:t>36</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"_Toc123548300" </w:instrText>
          </w:r>
          <w:r>
            <w:fldChar w:fldCharType="separate"/>
          </w:r>
          <w:r>
            <w:rPr>
              <w:rStyle w:val="14"/>
              <w:rFonts w:ascii="Times New Roman" w:hAnsi="Times New Roman" w:eastAsia="仿宋_GB2312"/>
              <w:color w:val="auto"/>
              <w:sz w:val="24"/>
              <w:szCs w:val="24"/>
            </w:rPr>
            <w:t>第一节  加强自然保护地和生态保护红线监管</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_Toc123548300 \h </w:instrText>
          </w:r>
          <w:r>
            <w:rPr>
              <w:rFonts w:ascii="Times New Roman" w:hAnsi="Times New Roman" w:eastAsia="仿宋_GB2312"/>
              <w:sz w:val="24"/>
              <w:szCs w:val="24"/>
            </w:rPr>
            <w:fldChar w:fldCharType="separate"/>
          </w:r>
          <w:r>
            <w:rPr>
              <w:rFonts w:ascii="Times New Roman" w:hAnsi="Times New Roman" w:eastAsia="仿宋_GB2312"/>
              <w:sz w:val="24"/>
              <w:szCs w:val="24"/>
            </w:rPr>
            <w:t>36</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"_Toc123548301" </w:instrText>
          </w:r>
          <w:r>
            <w:fldChar w:fldCharType="separate"/>
          </w:r>
          <w:r>
            <w:rPr>
              <w:rStyle w:val="14"/>
              <w:rFonts w:ascii="Times New Roman" w:hAnsi="Times New Roman" w:eastAsia="仿宋_GB2312"/>
              <w:color w:val="auto"/>
              <w:sz w:val="24"/>
              <w:szCs w:val="24"/>
            </w:rPr>
            <w:t>第二节  加强生物多样性保护</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_Toc123548301 \h </w:instrText>
          </w:r>
          <w:r>
            <w:rPr>
              <w:rFonts w:ascii="Times New Roman" w:hAnsi="Times New Roman" w:eastAsia="仿宋_GB2312"/>
              <w:sz w:val="24"/>
              <w:szCs w:val="24"/>
            </w:rPr>
            <w:fldChar w:fldCharType="separate"/>
          </w:r>
          <w:r>
            <w:rPr>
              <w:rFonts w:ascii="Times New Roman" w:hAnsi="Times New Roman" w:eastAsia="仿宋_GB2312"/>
              <w:sz w:val="24"/>
              <w:szCs w:val="24"/>
            </w:rPr>
            <w:t>37</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"_Toc123548302" </w:instrText>
          </w:r>
          <w:r>
            <w:fldChar w:fldCharType="separate"/>
          </w:r>
          <w:r>
            <w:rPr>
              <w:rStyle w:val="14"/>
              <w:rFonts w:ascii="Times New Roman" w:hAnsi="Times New Roman" w:eastAsia="仿宋_GB2312"/>
              <w:color w:val="auto"/>
              <w:sz w:val="24"/>
              <w:szCs w:val="24"/>
            </w:rPr>
            <w:t>第三节  推进生态系统保护修复</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_Toc123548302 \h </w:instrText>
          </w:r>
          <w:r>
            <w:rPr>
              <w:rFonts w:ascii="Times New Roman" w:hAnsi="Times New Roman" w:eastAsia="仿宋_GB2312"/>
              <w:sz w:val="24"/>
              <w:szCs w:val="24"/>
            </w:rPr>
            <w:fldChar w:fldCharType="separate"/>
          </w:r>
          <w:r>
            <w:rPr>
              <w:rFonts w:ascii="Times New Roman" w:hAnsi="Times New Roman" w:eastAsia="仿宋_GB2312"/>
              <w:sz w:val="24"/>
              <w:szCs w:val="24"/>
            </w:rPr>
            <w:t>38</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"_Toc123548303" </w:instrText>
          </w:r>
          <w:r>
            <w:fldChar w:fldCharType="separate"/>
          </w:r>
          <w:r>
            <w:rPr>
              <w:rStyle w:val="14"/>
              <w:rFonts w:ascii="Times New Roman" w:hAnsi="Times New Roman" w:eastAsia="仿宋_GB2312"/>
              <w:color w:val="auto"/>
              <w:sz w:val="24"/>
              <w:szCs w:val="24"/>
            </w:rPr>
            <w:t>第四节  建立健全生态产品价值实现机制</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_Toc123548303 \h </w:instrText>
          </w:r>
          <w:r>
            <w:rPr>
              <w:rFonts w:ascii="Times New Roman" w:hAnsi="Times New Roman" w:eastAsia="仿宋_GB2312"/>
              <w:sz w:val="24"/>
              <w:szCs w:val="24"/>
            </w:rPr>
            <w:fldChar w:fldCharType="separate"/>
          </w:r>
          <w:r>
            <w:rPr>
              <w:rFonts w:ascii="Times New Roman" w:hAnsi="Times New Roman" w:eastAsia="仿宋_GB2312"/>
              <w:sz w:val="24"/>
              <w:szCs w:val="24"/>
            </w:rPr>
            <w:t>39</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9"/>
            <w:rPr>
              <w:rFonts w:ascii="Times New Roman" w:hAnsi="Times New Roman" w:eastAsia="仿宋_GB2312"/>
              <w:b w:val="0"/>
              <w:bCs w:val="0"/>
              <w:kern w:val="2"/>
              <w:sz w:val="24"/>
              <w:szCs w:val="24"/>
            </w:rPr>
          </w:pPr>
          <w:r>
            <w:fldChar w:fldCharType="begin"/>
          </w:r>
          <w:r>
            <w:instrText xml:space="preserve"> HYPERLINK \l "_Toc123548304" </w:instrText>
          </w:r>
          <w:r>
            <w:fldChar w:fldCharType="separate"/>
          </w:r>
          <w:r>
            <w:rPr>
              <w:rStyle w:val="14"/>
              <w:rFonts w:ascii="Times New Roman" w:hAnsi="Times New Roman" w:eastAsia="仿宋_GB2312"/>
              <w:color w:val="auto"/>
              <w:sz w:val="24"/>
              <w:szCs w:val="24"/>
            </w:rPr>
            <w:t>第九章  强化风险防控，有效防范环境风险</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_Toc123548304 \h </w:instrText>
          </w:r>
          <w:r>
            <w:rPr>
              <w:rFonts w:ascii="Times New Roman" w:hAnsi="Times New Roman" w:eastAsia="仿宋_GB2312"/>
              <w:sz w:val="24"/>
              <w:szCs w:val="24"/>
            </w:rPr>
            <w:fldChar w:fldCharType="separate"/>
          </w:r>
          <w:r>
            <w:rPr>
              <w:rFonts w:ascii="Times New Roman" w:hAnsi="Times New Roman" w:eastAsia="仿宋_GB2312"/>
              <w:sz w:val="24"/>
              <w:szCs w:val="24"/>
            </w:rPr>
            <w:t>40</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"_Toc123548305" </w:instrText>
          </w:r>
          <w:r>
            <w:fldChar w:fldCharType="separate"/>
          </w:r>
          <w:r>
            <w:rPr>
              <w:rStyle w:val="14"/>
              <w:rFonts w:ascii="Times New Roman" w:hAnsi="Times New Roman" w:eastAsia="仿宋_GB2312"/>
              <w:color w:val="auto"/>
              <w:sz w:val="24"/>
              <w:szCs w:val="24"/>
            </w:rPr>
            <w:t>第一节  强化核与辐射环境安全监管</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_Toc123548305 \h </w:instrText>
          </w:r>
          <w:r>
            <w:rPr>
              <w:rFonts w:ascii="Times New Roman" w:hAnsi="Times New Roman" w:eastAsia="仿宋_GB2312"/>
              <w:sz w:val="24"/>
              <w:szCs w:val="24"/>
            </w:rPr>
            <w:fldChar w:fldCharType="separate"/>
          </w:r>
          <w:r>
            <w:rPr>
              <w:rFonts w:ascii="Times New Roman" w:hAnsi="Times New Roman" w:eastAsia="仿宋_GB2312"/>
              <w:sz w:val="24"/>
              <w:szCs w:val="24"/>
            </w:rPr>
            <w:t>40</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"_Toc123548306" </w:instrText>
          </w:r>
          <w:r>
            <w:fldChar w:fldCharType="separate"/>
          </w:r>
          <w:r>
            <w:rPr>
              <w:rStyle w:val="14"/>
              <w:rFonts w:ascii="Times New Roman" w:hAnsi="Times New Roman" w:eastAsia="仿宋_GB2312"/>
              <w:color w:val="auto"/>
              <w:sz w:val="24"/>
              <w:szCs w:val="24"/>
            </w:rPr>
            <w:t>第二节  提升危险废物处理处置及监管能力</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_Toc123548306 \h </w:instrText>
          </w:r>
          <w:r>
            <w:rPr>
              <w:rFonts w:ascii="Times New Roman" w:hAnsi="Times New Roman" w:eastAsia="仿宋_GB2312"/>
              <w:sz w:val="24"/>
              <w:szCs w:val="24"/>
            </w:rPr>
            <w:fldChar w:fldCharType="separate"/>
          </w:r>
          <w:r>
            <w:rPr>
              <w:rFonts w:ascii="Times New Roman" w:hAnsi="Times New Roman" w:eastAsia="仿宋_GB2312"/>
              <w:sz w:val="24"/>
              <w:szCs w:val="24"/>
            </w:rPr>
            <w:t>40</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"_Toc123548307" </w:instrText>
          </w:r>
          <w:r>
            <w:fldChar w:fldCharType="separate"/>
          </w:r>
          <w:r>
            <w:rPr>
              <w:rStyle w:val="14"/>
              <w:rFonts w:ascii="Times New Roman" w:hAnsi="Times New Roman" w:eastAsia="仿宋_GB2312"/>
              <w:color w:val="auto"/>
              <w:sz w:val="24"/>
              <w:szCs w:val="24"/>
            </w:rPr>
            <w:t>第三节  强化重金属污染防治</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_Toc123548307 \h </w:instrText>
          </w:r>
          <w:r>
            <w:rPr>
              <w:rFonts w:ascii="Times New Roman" w:hAnsi="Times New Roman" w:eastAsia="仿宋_GB2312"/>
              <w:sz w:val="24"/>
              <w:szCs w:val="24"/>
            </w:rPr>
            <w:fldChar w:fldCharType="separate"/>
          </w:r>
          <w:r>
            <w:rPr>
              <w:rFonts w:ascii="Times New Roman" w:hAnsi="Times New Roman" w:eastAsia="仿宋_GB2312"/>
              <w:sz w:val="24"/>
              <w:szCs w:val="24"/>
            </w:rPr>
            <w:t>41</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"_Toc123548308" </w:instrText>
          </w:r>
          <w:r>
            <w:fldChar w:fldCharType="separate"/>
          </w:r>
          <w:r>
            <w:rPr>
              <w:rStyle w:val="14"/>
              <w:rFonts w:ascii="Times New Roman" w:hAnsi="Times New Roman" w:eastAsia="仿宋_GB2312"/>
              <w:color w:val="auto"/>
              <w:sz w:val="24"/>
              <w:szCs w:val="24"/>
            </w:rPr>
            <w:t>第四节  推进其他固体废物利用处置</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_Toc123548308 \h </w:instrText>
          </w:r>
          <w:r>
            <w:rPr>
              <w:rFonts w:ascii="Times New Roman" w:hAnsi="Times New Roman" w:eastAsia="仿宋_GB2312"/>
              <w:sz w:val="24"/>
              <w:szCs w:val="24"/>
            </w:rPr>
            <w:fldChar w:fldCharType="separate"/>
          </w:r>
          <w:r>
            <w:rPr>
              <w:rFonts w:ascii="Times New Roman" w:hAnsi="Times New Roman" w:eastAsia="仿宋_GB2312"/>
              <w:sz w:val="24"/>
              <w:szCs w:val="24"/>
            </w:rPr>
            <w:t>42</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"_Toc123548309" </w:instrText>
          </w:r>
          <w:r>
            <w:fldChar w:fldCharType="separate"/>
          </w:r>
          <w:r>
            <w:rPr>
              <w:rStyle w:val="14"/>
              <w:rFonts w:ascii="Times New Roman" w:hAnsi="Times New Roman" w:eastAsia="仿宋_GB2312"/>
              <w:color w:val="auto"/>
              <w:sz w:val="24"/>
              <w:szCs w:val="24"/>
            </w:rPr>
            <w:t>第五节  加大新污染物基础调查及排放控制</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_Toc123548309 \h </w:instrText>
          </w:r>
          <w:r>
            <w:rPr>
              <w:rFonts w:ascii="Times New Roman" w:hAnsi="Times New Roman" w:eastAsia="仿宋_GB2312"/>
              <w:sz w:val="24"/>
              <w:szCs w:val="24"/>
            </w:rPr>
            <w:fldChar w:fldCharType="separate"/>
          </w:r>
          <w:r>
            <w:rPr>
              <w:rFonts w:ascii="Times New Roman" w:hAnsi="Times New Roman" w:eastAsia="仿宋_GB2312"/>
              <w:sz w:val="24"/>
              <w:szCs w:val="24"/>
            </w:rPr>
            <w:t>43</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"_Toc123548310" </w:instrText>
          </w:r>
          <w:r>
            <w:fldChar w:fldCharType="separate"/>
          </w:r>
          <w:r>
            <w:rPr>
              <w:rStyle w:val="14"/>
              <w:rFonts w:ascii="Times New Roman" w:hAnsi="Times New Roman" w:eastAsia="仿宋_GB2312"/>
              <w:color w:val="auto"/>
              <w:sz w:val="24"/>
              <w:szCs w:val="24"/>
            </w:rPr>
            <w:t>第六节  强化环境风险预警与应急管理</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_Toc123548310 \h </w:instrText>
          </w:r>
          <w:r>
            <w:rPr>
              <w:rFonts w:ascii="Times New Roman" w:hAnsi="Times New Roman" w:eastAsia="仿宋_GB2312"/>
              <w:sz w:val="24"/>
              <w:szCs w:val="24"/>
            </w:rPr>
            <w:fldChar w:fldCharType="separate"/>
          </w:r>
          <w:r>
            <w:rPr>
              <w:rFonts w:ascii="Times New Roman" w:hAnsi="Times New Roman" w:eastAsia="仿宋_GB2312"/>
              <w:sz w:val="24"/>
              <w:szCs w:val="24"/>
            </w:rPr>
            <w:t>43</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9"/>
            <w:rPr>
              <w:rFonts w:ascii="Times New Roman" w:hAnsi="Times New Roman" w:eastAsia="仿宋_GB2312"/>
              <w:b w:val="0"/>
              <w:bCs w:val="0"/>
              <w:kern w:val="2"/>
              <w:sz w:val="24"/>
              <w:szCs w:val="24"/>
            </w:rPr>
          </w:pPr>
          <w:r>
            <w:fldChar w:fldCharType="begin"/>
          </w:r>
          <w:r>
            <w:instrText xml:space="preserve"> HYPERLINK \l "_Toc123548311" </w:instrText>
          </w:r>
          <w:r>
            <w:fldChar w:fldCharType="separate"/>
          </w:r>
          <w:r>
            <w:rPr>
              <w:rStyle w:val="14"/>
              <w:rFonts w:ascii="Times New Roman" w:hAnsi="Times New Roman" w:eastAsia="仿宋_GB2312"/>
              <w:color w:val="auto"/>
              <w:sz w:val="24"/>
              <w:szCs w:val="24"/>
            </w:rPr>
            <w:t>第十章  深化改革创新，构建现代环境治理体系</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_Toc123548311 \h </w:instrText>
          </w:r>
          <w:r>
            <w:rPr>
              <w:rFonts w:ascii="Times New Roman" w:hAnsi="Times New Roman" w:eastAsia="仿宋_GB2312"/>
              <w:sz w:val="24"/>
              <w:szCs w:val="24"/>
            </w:rPr>
            <w:fldChar w:fldCharType="separate"/>
          </w:r>
          <w:r>
            <w:rPr>
              <w:rFonts w:ascii="Times New Roman" w:hAnsi="Times New Roman" w:eastAsia="仿宋_GB2312"/>
              <w:sz w:val="24"/>
              <w:szCs w:val="24"/>
            </w:rPr>
            <w:t>45</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"_Toc123548312" </w:instrText>
          </w:r>
          <w:r>
            <w:fldChar w:fldCharType="separate"/>
          </w:r>
          <w:r>
            <w:rPr>
              <w:rStyle w:val="14"/>
              <w:rFonts w:ascii="Times New Roman" w:hAnsi="Times New Roman" w:eastAsia="仿宋_GB2312"/>
              <w:color w:val="auto"/>
              <w:sz w:val="24"/>
              <w:szCs w:val="24"/>
            </w:rPr>
            <w:t>第一节  创新生态环境管理模式</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_Toc123548312 \h </w:instrText>
          </w:r>
          <w:r>
            <w:rPr>
              <w:rFonts w:ascii="Times New Roman" w:hAnsi="Times New Roman" w:eastAsia="仿宋_GB2312"/>
              <w:sz w:val="24"/>
              <w:szCs w:val="24"/>
            </w:rPr>
            <w:fldChar w:fldCharType="separate"/>
          </w:r>
          <w:r>
            <w:rPr>
              <w:rFonts w:ascii="Times New Roman" w:hAnsi="Times New Roman" w:eastAsia="仿宋_GB2312"/>
              <w:sz w:val="24"/>
              <w:szCs w:val="24"/>
            </w:rPr>
            <w:t>45</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"_Toc123548313" </w:instrText>
          </w:r>
          <w:r>
            <w:fldChar w:fldCharType="separate"/>
          </w:r>
          <w:r>
            <w:rPr>
              <w:rStyle w:val="14"/>
              <w:rFonts w:ascii="Times New Roman" w:hAnsi="Times New Roman" w:eastAsia="仿宋_GB2312"/>
              <w:color w:val="auto"/>
              <w:sz w:val="24"/>
              <w:szCs w:val="24"/>
            </w:rPr>
            <w:t>第二节  完善生态环境制度建设</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_Toc123548313 \h </w:instrText>
          </w:r>
          <w:r>
            <w:rPr>
              <w:rFonts w:ascii="Times New Roman" w:hAnsi="Times New Roman" w:eastAsia="仿宋_GB2312"/>
              <w:sz w:val="24"/>
              <w:szCs w:val="24"/>
            </w:rPr>
            <w:fldChar w:fldCharType="separate"/>
          </w:r>
          <w:r>
            <w:rPr>
              <w:rFonts w:ascii="Times New Roman" w:hAnsi="Times New Roman" w:eastAsia="仿宋_GB2312"/>
              <w:sz w:val="24"/>
              <w:szCs w:val="24"/>
            </w:rPr>
            <w:t>46</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"_Toc123548314" </w:instrText>
          </w:r>
          <w:r>
            <w:fldChar w:fldCharType="separate"/>
          </w:r>
          <w:r>
            <w:rPr>
              <w:rStyle w:val="14"/>
              <w:rFonts w:ascii="Times New Roman" w:hAnsi="Times New Roman" w:eastAsia="仿宋_GB2312"/>
              <w:color w:val="auto"/>
              <w:sz w:val="24"/>
              <w:szCs w:val="24"/>
            </w:rPr>
            <w:t>第三节  推进生态环境监测体系建设</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_Toc123548314 \h </w:instrText>
          </w:r>
          <w:r>
            <w:rPr>
              <w:rFonts w:ascii="Times New Roman" w:hAnsi="Times New Roman" w:eastAsia="仿宋_GB2312"/>
              <w:sz w:val="24"/>
              <w:szCs w:val="24"/>
            </w:rPr>
            <w:fldChar w:fldCharType="separate"/>
          </w:r>
          <w:r>
            <w:rPr>
              <w:rFonts w:ascii="Times New Roman" w:hAnsi="Times New Roman" w:eastAsia="仿宋_GB2312"/>
              <w:sz w:val="24"/>
              <w:szCs w:val="24"/>
            </w:rPr>
            <w:t>48</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"_Toc123548315" </w:instrText>
          </w:r>
          <w:r>
            <w:fldChar w:fldCharType="separate"/>
          </w:r>
          <w:r>
            <w:rPr>
              <w:rStyle w:val="14"/>
              <w:rFonts w:ascii="Times New Roman" w:hAnsi="Times New Roman" w:eastAsia="仿宋_GB2312"/>
              <w:color w:val="auto"/>
              <w:sz w:val="24"/>
              <w:szCs w:val="24"/>
            </w:rPr>
            <w:t>第四节  开展生态环境大数据建设</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_Toc123548315 \h </w:instrText>
          </w:r>
          <w:r>
            <w:rPr>
              <w:rFonts w:ascii="Times New Roman" w:hAnsi="Times New Roman" w:eastAsia="仿宋_GB2312"/>
              <w:sz w:val="24"/>
              <w:szCs w:val="24"/>
            </w:rPr>
            <w:fldChar w:fldCharType="separate"/>
          </w:r>
          <w:r>
            <w:rPr>
              <w:rFonts w:ascii="Times New Roman" w:hAnsi="Times New Roman" w:eastAsia="仿宋_GB2312"/>
              <w:sz w:val="24"/>
              <w:szCs w:val="24"/>
            </w:rPr>
            <w:t>49</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"_Toc123548316" </w:instrText>
          </w:r>
          <w:r>
            <w:fldChar w:fldCharType="separate"/>
          </w:r>
          <w:r>
            <w:rPr>
              <w:rStyle w:val="14"/>
              <w:rFonts w:ascii="Times New Roman" w:hAnsi="Times New Roman" w:eastAsia="仿宋_GB2312"/>
              <w:color w:val="auto"/>
              <w:sz w:val="24"/>
              <w:szCs w:val="24"/>
            </w:rPr>
            <w:t>第五节  完善生态环境执法体系建设</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_Toc123548316 \h </w:instrText>
          </w:r>
          <w:r>
            <w:rPr>
              <w:rFonts w:ascii="Times New Roman" w:hAnsi="Times New Roman" w:eastAsia="仿宋_GB2312"/>
              <w:sz w:val="24"/>
              <w:szCs w:val="24"/>
            </w:rPr>
            <w:fldChar w:fldCharType="separate"/>
          </w:r>
          <w:r>
            <w:rPr>
              <w:rFonts w:ascii="Times New Roman" w:hAnsi="Times New Roman" w:eastAsia="仿宋_GB2312"/>
              <w:sz w:val="24"/>
              <w:szCs w:val="24"/>
            </w:rPr>
            <w:t>50</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9"/>
            <w:rPr>
              <w:rFonts w:ascii="Times New Roman" w:hAnsi="Times New Roman" w:eastAsia="仿宋_GB2312"/>
              <w:b w:val="0"/>
              <w:bCs w:val="0"/>
              <w:kern w:val="2"/>
              <w:sz w:val="24"/>
              <w:szCs w:val="24"/>
            </w:rPr>
          </w:pPr>
          <w:r>
            <w:fldChar w:fldCharType="begin"/>
          </w:r>
          <w:r>
            <w:instrText xml:space="preserve"> HYPERLINK \l "_Toc123548317" </w:instrText>
          </w:r>
          <w:r>
            <w:fldChar w:fldCharType="separate"/>
          </w:r>
          <w:r>
            <w:rPr>
              <w:rStyle w:val="14"/>
              <w:rFonts w:ascii="Times New Roman" w:hAnsi="Times New Roman" w:eastAsia="仿宋_GB2312"/>
              <w:color w:val="auto"/>
              <w:sz w:val="24"/>
              <w:szCs w:val="24"/>
            </w:rPr>
            <w:t>第十一章  强化规划保障措施，确保规划顺利实施</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_Toc123548317 \h </w:instrText>
          </w:r>
          <w:r>
            <w:rPr>
              <w:rFonts w:ascii="Times New Roman" w:hAnsi="Times New Roman" w:eastAsia="仿宋_GB2312"/>
              <w:sz w:val="24"/>
              <w:szCs w:val="24"/>
            </w:rPr>
            <w:fldChar w:fldCharType="separate"/>
          </w:r>
          <w:r>
            <w:rPr>
              <w:rFonts w:ascii="Times New Roman" w:hAnsi="Times New Roman" w:eastAsia="仿宋_GB2312"/>
              <w:sz w:val="24"/>
              <w:szCs w:val="24"/>
            </w:rPr>
            <w:t>52</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"_Toc123548318" </w:instrText>
          </w:r>
          <w:r>
            <w:fldChar w:fldCharType="separate"/>
          </w:r>
          <w:r>
            <w:rPr>
              <w:rStyle w:val="14"/>
              <w:rFonts w:ascii="Times New Roman" w:hAnsi="Times New Roman" w:eastAsia="仿宋_GB2312"/>
              <w:color w:val="auto"/>
              <w:sz w:val="24"/>
              <w:szCs w:val="24"/>
            </w:rPr>
            <w:t>第一节  加强组织领导</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_Toc123548318 \h </w:instrText>
          </w:r>
          <w:r>
            <w:rPr>
              <w:rFonts w:ascii="Times New Roman" w:hAnsi="Times New Roman" w:eastAsia="仿宋_GB2312"/>
              <w:sz w:val="24"/>
              <w:szCs w:val="24"/>
            </w:rPr>
            <w:fldChar w:fldCharType="separate"/>
          </w:r>
          <w:r>
            <w:rPr>
              <w:rFonts w:ascii="Times New Roman" w:hAnsi="Times New Roman" w:eastAsia="仿宋_GB2312"/>
              <w:sz w:val="24"/>
              <w:szCs w:val="24"/>
            </w:rPr>
            <w:t>52</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"_Toc123548319" </w:instrText>
          </w:r>
          <w:r>
            <w:fldChar w:fldCharType="separate"/>
          </w:r>
          <w:r>
            <w:rPr>
              <w:rStyle w:val="14"/>
              <w:rFonts w:ascii="Times New Roman" w:hAnsi="Times New Roman" w:eastAsia="仿宋_GB2312"/>
              <w:color w:val="auto"/>
              <w:sz w:val="24"/>
              <w:szCs w:val="24"/>
            </w:rPr>
            <w:t>第二节  落实资金保障</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_Toc123548319 \h </w:instrText>
          </w:r>
          <w:r>
            <w:rPr>
              <w:rFonts w:ascii="Times New Roman" w:hAnsi="Times New Roman" w:eastAsia="仿宋_GB2312"/>
              <w:sz w:val="24"/>
              <w:szCs w:val="24"/>
            </w:rPr>
            <w:fldChar w:fldCharType="separate"/>
          </w:r>
          <w:r>
            <w:rPr>
              <w:rFonts w:ascii="Times New Roman" w:hAnsi="Times New Roman" w:eastAsia="仿宋_GB2312"/>
              <w:sz w:val="24"/>
              <w:szCs w:val="24"/>
            </w:rPr>
            <w:t>52</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"_Toc123548320" </w:instrText>
          </w:r>
          <w:r>
            <w:fldChar w:fldCharType="separate"/>
          </w:r>
          <w:r>
            <w:rPr>
              <w:rStyle w:val="14"/>
              <w:rFonts w:ascii="Times New Roman" w:hAnsi="Times New Roman" w:eastAsia="仿宋_GB2312"/>
              <w:color w:val="auto"/>
              <w:sz w:val="24"/>
              <w:szCs w:val="24"/>
            </w:rPr>
            <w:t>第三节  强化监管考核</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_Toc123548320 \h </w:instrText>
          </w:r>
          <w:r>
            <w:rPr>
              <w:rFonts w:ascii="Times New Roman" w:hAnsi="Times New Roman" w:eastAsia="仿宋_GB2312"/>
              <w:sz w:val="24"/>
              <w:szCs w:val="24"/>
            </w:rPr>
            <w:fldChar w:fldCharType="separate"/>
          </w:r>
          <w:r>
            <w:rPr>
              <w:rFonts w:ascii="Times New Roman" w:hAnsi="Times New Roman" w:eastAsia="仿宋_GB2312"/>
              <w:sz w:val="24"/>
              <w:szCs w:val="24"/>
            </w:rPr>
            <w:t>53</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"_Toc123548321" </w:instrText>
          </w:r>
          <w:r>
            <w:fldChar w:fldCharType="separate"/>
          </w:r>
          <w:r>
            <w:rPr>
              <w:rStyle w:val="14"/>
              <w:rFonts w:ascii="Times New Roman" w:hAnsi="Times New Roman" w:eastAsia="仿宋_GB2312"/>
              <w:color w:val="auto"/>
              <w:sz w:val="24"/>
              <w:szCs w:val="24"/>
            </w:rPr>
            <w:t>第四节  强化人才支撑</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_Toc123548321 \h </w:instrText>
          </w:r>
          <w:r>
            <w:rPr>
              <w:rFonts w:ascii="Times New Roman" w:hAnsi="Times New Roman" w:eastAsia="仿宋_GB2312"/>
              <w:sz w:val="24"/>
              <w:szCs w:val="24"/>
            </w:rPr>
            <w:fldChar w:fldCharType="separate"/>
          </w:r>
          <w:r>
            <w:rPr>
              <w:rFonts w:ascii="Times New Roman" w:hAnsi="Times New Roman" w:eastAsia="仿宋_GB2312"/>
              <w:sz w:val="24"/>
              <w:szCs w:val="24"/>
            </w:rPr>
            <w:t>53</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"_Toc123548322" </w:instrText>
          </w:r>
          <w:r>
            <w:fldChar w:fldCharType="separate"/>
          </w:r>
          <w:r>
            <w:rPr>
              <w:rStyle w:val="14"/>
              <w:rFonts w:ascii="Times New Roman" w:hAnsi="Times New Roman" w:eastAsia="仿宋_GB2312"/>
              <w:color w:val="auto"/>
              <w:sz w:val="24"/>
              <w:szCs w:val="24"/>
            </w:rPr>
            <w:t>第五节  开展评估督导</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_Toc123548322 \h </w:instrText>
          </w:r>
          <w:r>
            <w:rPr>
              <w:rFonts w:ascii="Times New Roman" w:hAnsi="Times New Roman" w:eastAsia="仿宋_GB2312"/>
              <w:sz w:val="24"/>
              <w:szCs w:val="24"/>
            </w:rPr>
            <w:fldChar w:fldCharType="separate"/>
          </w:r>
          <w:r>
            <w:rPr>
              <w:rFonts w:ascii="Times New Roman" w:hAnsi="Times New Roman" w:eastAsia="仿宋_GB2312"/>
              <w:sz w:val="24"/>
              <w:szCs w:val="24"/>
            </w:rPr>
            <w:t>53</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"_Toc123548323" </w:instrText>
          </w:r>
          <w:r>
            <w:fldChar w:fldCharType="separate"/>
          </w:r>
          <w:r>
            <w:rPr>
              <w:rStyle w:val="14"/>
              <w:rFonts w:ascii="Times New Roman" w:hAnsi="Times New Roman" w:eastAsia="仿宋_GB2312"/>
              <w:color w:val="auto"/>
              <w:sz w:val="24"/>
              <w:szCs w:val="24"/>
            </w:rPr>
            <w:t>第六节  加强社会监督</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_Toc123548323 \h </w:instrText>
          </w:r>
          <w:r>
            <w:rPr>
              <w:rFonts w:ascii="Times New Roman" w:hAnsi="Times New Roman" w:eastAsia="仿宋_GB2312"/>
              <w:sz w:val="24"/>
              <w:szCs w:val="24"/>
            </w:rPr>
            <w:fldChar w:fldCharType="separate"/>
          </w:r>
          <w:r>
            <w:rPr>
              <w:rFonts w:ascii="Times New Roman" w:hAnsi="Times New Roman" w:eastAsia="仿宋_GB2312"/>
              <w:sz w:val="24"/>
              <w:szCs w:val="24"/>
            </w:rPr>
            <w:t>54</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spacing w:after="100" w:line="240" w:lineRule="auto"/>
            <w:rPr>
              <w:rFonts w:cs="Times New Roman"/>
              <w:sz w:val="24"/>
            </w:rPr>
          </w:pPr>
          <w:r>
            <w:rPr>
              <w:rFonts w:cs="Times New Roman"/>
              <w:bCs/>
              <w:sz w:val="24"/>
              <w:lang w:val="zh-CN"/>
            </w:rPr>
            <w:fldChar w:fldCharType="end"/>
          </w:r>
        </w:p>
      </w:sdtContent>
    </w:sdt>
    <w:p>
      <w:pPr>
        <w:pStyle w:val="10"/>
        <w:adjustRightInd w:val="0"/>
        <w:snapToGrid w:val="0"/>
        <w:spacing w:line="240" w:lineRule="auto"/>
        <w:ind w:left="216"/>
        <w:rPr>
          <w:rFonts w:ascii="仿宋" w:hAnsi="仿宋" w:eastAsia="仿宋" w:cs="仿宋"/>
          <w:sz w:val="24"/>
          <w:szCs w:val="24"/>
        </w:rPr>
        <w:sectPr>
          <w:pgSz w:w="11906" w:h="16838"/>
          <w:pgMar w:top="1440" w:right="1800" w:bottom="1440" w:left="1800" w:header="851" w:footer="992" w:gutter="0"/>
          <w:cols w:space="425" w:num="1"/>
          <w:docGrid w:type="lines" w:linePitch="312" w:charSpace="0"/>
        </w:sectPr>
      </w:pPr>
    </w:p>
    <w:p>
      <w:pPr>
        <w:jc w:val="center"/>
        <w:rPr>
          <w:b/>
          <w:bCs/>
          <w:sz w:val="36"/>
          <w:szCs w:val="36"/>
        </w:rPr>
      </w:pPr>
      <w:r>
        <w:rPr>
          <w:rFonts w:hint="eastAsia"/>
          <w:b/>
          <w:bCs/>
          <w:sz w:val="36"/>
          <w:szCs w:val="36"/>
        </w:rPr>
        <w:t xml:space="preserve">前 </w:t>
      </w:r>
      <w:r>
        <w:rPr>
          <w:b/>
          <w:bCs/>
          <w:sz w:val="36"/>
          <w:szCs w:val="36"/>
        </w:rPr>
        <w:t xml:space="preserve"> </w:t>
      </w:r>
      <w:r>
        <w:rPr>
          <w:rFonts w:hint="eastAsia"/>
          <w:b/>
          <w:bCs/>
          <w:sz w:val="36"/>
          <w:szCs w:val="36"/>
        </w:rPr>
        <w:t>言</w:t>
      </w:r>
    </w:p>
    <w:p>
      <w:pPr>
        <w:ind w:firstLine="600" w:firstLineChars="200"/>
      </w:pPr>
      <w:r>
        <w:rPr>
          <w:rFonts w:hint="eastAsia"/>
        </w:rPr>
        <w:t>“十四五”时期（2021-2025年）是我国全面建成小康社会、实现第一个百年奋斗目标之后，乘势而上开启全面建设社会主义现代化国家新征程、向第二个百年奋斗目标进军的第一个五年，也是我市走好以生态优先、绿色发展为导向的高质量发展新路子，实现新的更大发展的关键时期。以习近平新时代中国特色社会主义思想为指导，全面贯彻党的十九大和十九届历次全会精神，认真落实习近平生态文明思想和习近平总书记对内蒙古重要讲话重要指示批示精神，牢固树立“绿水青山就是金山银山”的理念，根据《满洲里市国民经济和社会发展第十四个五年规划和2035年远景目标纲要》，以及《内蒙古自治区“十四五”生态环境保护规划》和《呼伦贝尔市“十四五”生态环境保护规划》，编制《满洲里市“十四五”生态环境保护规划》（以下简称“规划”），作为全市“十四五”期间生态环境保护工作的行动纲领。</w:t>
      </w:r>
    </w:p>
    <w:p>
      <w:pPr>
        <w:ind w:firstLine="600" w:firstLineChars="200"/>
      </w:pPr>
    </w:p>
    <w:p>
      <w:pPr>
        <w:ind w:firstLine="600" w:firstLineChars="200"/>
      </w:pPr>
    </w:p>
    <w:p>
      <w:pPr>
        <w:ind w:firstLine="600" w:firstLineChars="200"/>
        <w:sectPr>
          <w:pgSz w:w="11906" w:h="16838"/>
          <w:pgMar w:top="1440" w:right="1800" w:bottom="1440" w:left="1800" w:header="851" w:footer="992" w:gutter="0"/>
          <w:cols w:space="425" w:num="1"/>
          <w:docGrid w:type="lines" w:linePitch="312" w:charSpace="0"/>
        </w:sectPr>
      </w:pPr>
    </w:p>
    <w:p>
      <w:pPr>
        <w:pStyle w:val="3"/>
        <w:spacing w:before="408" w:after="204"/>
      </w:pPr>
      <w:bookmarkStart w:id="0" w:name="_Toc123548267"/>
      <w:r>
        <w:t>第一章</w:t>
      </w:r>
      <w:r>
        <w:rPr>
          <w:rFonts w:hint="eastAsia"/>
        </w:rPr>
        <w:t xml:space="preserve"> </w:t>
      </w:r>
      <w:r>
        <w:t xml:space="preserve"> </w:t>
      </w:r>
      <w:r>
        <w:rPr>
          <w:rFonts w:hint="eastAsia"/>
        </w:rPr>
        <w:t>生态环境保护成就与形势</w:t>
      </w:r>
      <w:bookmarkEnd w:id="0"/>
    </w:p>
    <w:p>
      <w:pPr>
        <w:pStyle w:val="4"/>
      </w:pPr>
      <w:bookmarkStart w:id="1" w:name="_Toc123548268"/>
      <w:r>
        <w:rPr>
          <w:rFonts w:hint="eastAsia"/>
        </w:rPr>
        <w:t xml:space="preserve">第一节 </w:t>
      </w:r>
      <w:r>
        <w:t xml:space="preserve"> </w:t>
      </w:r>
      <w:r>
        <w:rPr>
          <w:rFonts w:hint="eastAsia"/>
        </w:rPr>
        <w:t>生态环境保护工作取得新成就</w:t>
      </w:r>
      <w:bookmarkEnd w:id="1"/>
    </w:p>
    <w:p>
      <w:pPr>
        <w:ind w:firstLine="600" w:firstLineChars="200"/>
      </w:pPr>
      <w:r>
        <w:rPr>
          <w:rFonts w:hint="eastAsia"/>
        </w:rPr>
        <w:t>“十三五”以来，全市上下始终牢记习近平总书记“努力把内蒙古建成我国北方重要生态安全屏障”的殷切嘱托，深入贯彻中央、自治区、呼伦贝尔市生态文明建设和生态环境保护的决策部署，以绿色发展理念为引领、改善生态环境质量为核心、加强生态文明建设为保障，认真落实大气、水、土壤污染防治行动计划，环境保护工作取得显著成效。</w:t>
      </w:r>
    </w:p>
    <w:p>
      <w:pPr>
        <w:ind w:firstLine="602" w:firstLineChars="200"/>
        <w:rPr>
          <w:rFonts w:ascii="仿宋_GB2312"/>
          <w:szCs w:val="30"/>
        </w:rPr>
      </w:pPr>
      <w:r>
        <w:rPr>
          <w:b/>
          <w:bCs/>
        </w:rPr>
        <w:t>生态文明制度建设取得积极进展。</w:t>
      </w:r>
      <w:r>
        <w:t>生态文明制度建设日益完善</w:t>
      </w:r>
      <w:r>
        <w:rPr>
          <w:rFonts w:hint="eastAsia"/>
        </w:rPr>
        <w:t>，制定</w:t>
      </w:r>
      <w:r>
        <w:rPr>
          <w:rFonts w:hint="eastAsia" w:cs="Times New Roman"/>
        </w:rPr>
        <w:t>《满洲里市污染防治攻坚战行动计划》《满洲里市打赢蓝天保卫战三年行动计划实施方案》《满洲里市水污染防治三年攻坚计划》《满洲里市土壤污染防治三年攻坚计划》</w:t>
      </w:r>
      <w:r>
        <w:rPr>
          <w:rFonts w:hint="eastAsia"/>
        </w:rPr>
        <w:t>《满洲里市挥发性有机物综合整治工作方案》</w:t>
      </w:r>
      <w:r>
        <w:rPr>
          <w:rFonts w:hint="eastAsia" w:cs="Times New Roman"/>
        </w:rPr>
        <w:t>《满洲里市建成区内10蒸吨及以下燃煤锅炉淘汰整治三年工作实施方案（2018年-2020年）》</w:t>
      </w:r>
      <w:r>
        <w:rPr>
          <w:rFonts w:hint="eastAsia"/>
        </w:rPr>
        <w:t>《满洲里市散煤综合整治工作方案》《满洲里市“散乱污”工业企业综合整治专项行动方案》</w:t>
      </w:r>
      <w:r>
        <w:rPr>
          <w:rFonts w:hint="eastAsia" w:cs="Times New Roman"/>
        </w:rPr>
        <w:t>等一系列工作方案</w:t>
      </w:r>
      <w:r>
        <w:rPr>
          <w:rFonts w:hint="eastAsia"/>
        </w:rPr>
        <w:t>，扎实推进污染防治攻坚战。</w:t>
      </w:r>
      <w:r>
        <w:rPr>
          <w:rFonts w:hint="eastAsia" w:ascii="仿宋_GB2312" w:hAnsi="仿宋"/>
          <w:szCs w:val="30"/>
        </w:rPr>
        <w:t>认真落实《控制污染物排放许可制实施方案》，完成火电行业企业排污许可证申请与核发，完成“大气十条”和“水十条”涉及的重点行业企业许可证核发工作，形成了以排污许可为核心、精简高效的固定源环境管理制度体系。</w:t>
      </w:r>
      <w:r>
        <w:rPr>
          <w:rFonts w:hint="eastAsia"/>
        </w:rPr>
        <w:t>印发实施了《满洲里市各级党委（党工委）和管委会及市有关部门单位生态环境保护责任清单》，</w:t>
      </w:r>
      <w:r>
        <w:t>进一步压实生态环境保护</w:t>
      </w:r>
      <w:r>
        <w:rPr>
          <w:rFonts w:hint="eastAsia"/>
        </w:rPr>
        <w:t>“</w:t>
      </w:r>
      <w:r>
        <w:t>党政同责</w:t>
      </w:r>
      <w:r>
        <w:rPr>
          <w:rFonts w:hint="eastAsia"/>
        </w:rPr>
        <w:t>”、“</w:t>
      </w:r>
      <w:r>
        <w:t>一岗双责</w:t>
      </w:r>
      <w:r>
        <w:rPr>
          <w:rFonts w:hint="eastAsia"/>
        </w:rPr>
        <w:t>”</w:t>
      </w:r>
      <w:r>
        <w:t>。形成</w:t>
      </w:r>
      <w:r>
        <w:rPr>
          <w:rFonts w:hint="eastAsia"/>
        </w:rPr>
        <w:t>《满洲里市环境保护局关于环保机构监测监察执法垂直</w:t>
      </w:r>
      <w:r>
        <w:rPr>
          <w:rFonts w:hint="eastAsia" w:ascii="仿宋_GB2312"/>
          <w:szCs w:val="30"/>
        </w:rPr>
        <w:t>管理制度改革相关情况的报告》，加快推进制度建设，确保机构改革顺利完成。</w:t>
      </w:r>
    </w:p>
    <w:p>
      <w:pPr>
        <w:ind w:firstLine="602" w:firstLineChars="200"/>
        <w:rPr>
          <w:rFonts w:ascii="仿宋_GB2312"/>
          <w:szCs w:val="30"/>
        </w:rPr>
      </w:pPr>
      <w:r>
        <w:rPr>
          <w:rFonts w:hint="eastAsia" w:ascii="仿宋_GB2312"/>
          <w:b/>
          <w:bCs/>
          <w:szCs w:val="30"/>
          <w:lang w:val="zh-CN"/>
        </w:rPr>
        <w:t>生态环</w:t>
      </w:r>
      <w:r>
        <w:rPr>
          <w:b/>
          <w:bCs/>
          <w:szCs w:val="30"/>
          <w:lang w:val="zh-CN"/>
        </w:rPr>
        <w:t>境质量明显改善。</w:t>
      </w:r>
      <w:r>
        <w:rPr>
          <w:rFonts w:hint="eastAsia" w:ascii="仿宋_GB2312"/>
          <w:szCs w:val="30"/>
        </w:rPr>
        <w:t>“十三五”期间，我市空气质量达到优良标准，全市空气质量优良天数比率均</w:t>
      </w:r>
      <w:r>
        <w:rPr>
          <w:rFonts w:hint="eastAsia"/>
        </w:rPr>
        <w:t>达到96%以上，其中</w:t>
      </w:r>
      <w:r>
        <w:t>2018</w:t>
      </w:r>
      <w:r>
        <w:rPr>
          <w:rFonts w:hint="eastAsia"/>
        </w:rPr>
        <w:t>年中心城区细颗粒物（PM</w:t>
      </w:r>
      <w:r>
        <w:rPr>
          <w:rFonts w:hint="eastAsia"/>
          <w:vertAlign w:val="subscript"/>
        </w:rPr>
        <w:t>2.5</w:t>
      </w:r>
      <w:r>
        <w:rPr>
          <w:rFonts w:hint="eastAsia"/>
        </w:rPr>
        <w:t>）年均浓度</w:t>
      </w:r>
      <w:r>
        <w:t>12</w:t>
      </w:r>
      <w:r>
        <w:rPr>
          <w:rFonts w:hint="eastAsia"/>
        </w:rPr>
        <w:t>微克/立方米，</w:t>
      </w:r>
      <w:r>
        <w:t>2019</w:t>
      </w:r>
      <w:r>
        <w:rPr>
          <w:rFonts w:hint="eastAsia"/>
        </w:rPr>
        <w:t>年中心城区细颗粒物（PM</w:t>
      </w:r>
      <w:r>
        <w:rPr>
          <w:rFonts w:hint="eastAsia"/>
          <w:vertAlign w:val="subscript"/>
        </w:rPr>
        <w:t>2.5</w:t>
      </w:r>
      <w:r>
        <w:rPr>
          <w:rFonts w:hint="eastAsia"/>
        </w:rPr>
        <w:t>）年均浓度</w:t>
      </w:r>
      <w:r>
        <w:t>12</w:t>
      </w:r>
      <w:r>
        <w:rPr>
          <w:rFonts w:hint="eastAsia"/>
        </w:rPr>
        <w:t>微克/立方米，</w:t>
      </w:r>
      <w:r>
        <w:t>2020年中心城区</w:t>
      </w:r>
      <w:r>
        <w:rPr>
          <w:rFonts w:hint="eastAsia"/>
        </w:rPr>
        <w:t>细颗粒物（</w:t>
      </w:r>
      <w:r>
        <w:t>PM</w:t>
      </w:r>
      <w:r>
        <w:rPr>
          <w:vertAlign w:val="subscript"/>
        </w:rPr>
        <w:t>2.5</w:t>
      </w:r>
      <w:r>
        <w:rPr>
          <w:rFonts w:hint="eastAsia"/>
        </w:rPr>
        <w:t>）年均浓度10微克/立方米，达到了35微克/立方米以下的呼伦贝尔市考核目标要求。</w:t>
      </w:r>
      <w:r>
        <w:rPr>
          <w:rFonts w:hint="eastAsia" w:ascii="仿宋_GB2312"/>
          <w:szCs w:val="30"/>
        </w:rPr>
        <w:t>地表水、地下水环境质量保持稳定，</w:t>
      </w:r>
      <w:r>
        <w:rPr>
          <w:lang w:val="zh-CN"/>
        </w:rPr>
        <w:t>城市建成区无黑臭水体。</w:t>
      </w:r>
      <w:r>
        <w:rPr>
          <w:rFonts w:hint="eastAsia" w:ascii="仿宋_GB2312"/>
          <w:szCs w:val="30"/>
        </w:rPr>
        <w:t>区域噪声、交通噪声达到国家声功能区标准。</w:t>
      </w:r>
      <w:r>
        <w:t>土壤环境质量总体保持稳定，农用地和建设用地土壤环境安全得到基本保障，环境风险得到基本管控，全面完成农用地土壤污染状况详查点位核查工作。</w:t>
      </w:r>
      <w:r>
        <w:rPr>
          <w:rFonts w:hint="eastAsia"/>
        </w:rPr>
        <w:t>全市生态</w:t>
      </w:r>
      <w:r>
        <w:rPr>
          <w:rFonts w:hint="eastAsia" w:ascii="仿宋_GB2312"/>
          <w:szCs w:val="30"/>
        </w:rPr>
        <w:t>环境质量进一步好转。</w:t>
      </w:r>
    </w:p>
    <w:p>
      <w:pPr>
        <w:ind w:firstLine="640"/>
      </w:pPr>
      <w:r>
        <w:rPr>
          <w:rFonts w:ascii="仿宋_GB2312"/>
          <w:b/>
          <w:bCs/>
          <w:szCs w:val="30"/>
          <w:lang w:val="zh-CN"/>
        </w:rPr>
        <w:t>污染防治攻坚战取得阶段</w:t>
      </w:r>
      <w:r>
        <w:rPr>
          <w:b/>
          <w:bCs/>
          <w:szCs w:val="30"/>
          <w:lang w:val="zh-CN"/>
        </w:rPr>
        <w:t>性胜利。</w:t>
      </w:r>
      <w:r>
        <w:rPr>
          <w:b/>
          <w:bCs/>
          <w:szCs w:val="30"/>
        </w:rPr>
        <w:t>全面推进蓝</w:t>
      </w:r>
      <w:r>
        <w:rPr>
          <w:b/>
          <w:bCs/>
        </w:rPr>
        <w:t>天保卫战。</w:t>
      </w:r>
      <w:r>
        <w:rPr>
          <w:rFonts w:hint="eastAsia"/>
        </w:rPr>
        <w:t>大力</w:t>
      </w:r>
      <w:r>
        <w:t>开展燃煤污染综合治理，制定印发《满洲里市建成区10蒸吨及以下燃煤锅炉淘</w:t>
      </w:r>
      <w:r>
        <w:rPr>
          <w:szCs w:val="30"/>
        </w:rPr>
        <w:t>汰整治三年工作实施方案》，</w:t>
      </w:r>
      <w:r>
        <w:rPr>
          <w:rFonts w:hint="eastAsia"/>
        </w:rPr>
        <w:t>完成我市建成区10蒸吨/小时以下燃煤锅炉淘汰工作，累计查封燃煤锅炉80台。满洲里热电厂5号锅炉完成超低排放改造验收。完成全市高污染燃料禁燃区划定，</w:t>
      </w:r>
      <w:r>
        <w:t>深入查处禁燃区范围内使用高污染燃料违法行为，对1家企业立案调查</w:t>
      </w:r>
      <w:r>
        <w:rPr>
          <w:rFonts w:hint="eastAsia"/>
        </w:rPr>
        <w:t>。2</w:t>
      </w:r>
      <w:r>
        <w:t>016年以来</w:t>
      </w:r>
      <w:r>
        <w:rPr>
          <w:lang w:val="zh-CN"/>
        </w:rPr>
        <w:t>完成平房区集中供热改造</w:t>
      </w:r>
      <w:r>
        <w:t>0.16</w:t>
      </w:r>
      <w:r>
        <w:rPr>
          <w:lang w:val="zh-CN"/>
        </w:rPr>
        <w:t>万户、</w:t>
      </w:r>
      <w:r>
        <w:rPr>
          <w:rFonts w:hint="eastAsia"/>
        </w:rPr>
        <w:t>改造面积20.65万平方米</w:t>
      </w:r>
      <w:r>
        <w:rPr>
          <w:lang w:val="zh-CN"/>
        </w:rPr>
        <w:t>；</w:t>
      </w:r>
      <w:r>
        <w:rPr>
          <w:rFonts w:hint="eastAsia"/>
          <w:lang w:val="zh-CN"/>
        </w:rPr>
        <w:t>原煤散烧量较2015年削减5760吨</w:t>
      </w:r>
      <w:r>
        <w:t>。进行工业企业大气污染治理，</w:t>
      </w:r>
      <w:r>
        <w:rPr>
          <w:rFonts w:hint="eastAsia"/>
        </w:rPr>
        <w:t>6</w:t>
      </w:r>
      <w:r>
        <w:t>家企业完成了废气无组织排放治理，</w:t>
      </w:r>
      <w:r>
        <w:rPr>
          <w:rFonts w:hint="eastAsia"/>
        </w:rPr>
        <w:t>1</w:t>
      </w:r>
      <w:r>
        <w:t>家企业完成了工业窑炉综合治理。</w:t>
      </w:r>
      <w:r>
        <w:rPr>
          <w:rFonts w:hint="eastAsia"/>
        </w:rPr>
        <w:t>开展汽修</w:t>
      </w:r>
      <w:r>
        <w:rPr>
          <w:rFonts w:hint="eastAsia"/>
          <w:szCs w:val="30"/>
        </w:rPr>
        <w:t>行业（喷漆）</w:t>
      </w:r>
      <w:r>
        <w:t>挥发性有机物</w:t>
      </w:r>
      <w:r>
        <w:rPr>
          <w:rFonts w:hint="eastAsia"/>
        </w:rPr>
        <w:t>（</w:t>
      </w:r>
      <w:r>
        <w:rPr>
          <w:rFonts w:hint="eastAsia"/>
          <w:szCs w:val="30"/>
        </w:rPr>
        <w:t>VOCs</w:t>
      </w:r>
      <w:r>
        <w:rPr>
          <w:rFonts w:hint="eastAsia"/>
        </w:rPr>
        <w:t>）</w:t>
      </w:r>
      <w:r>
        <w:rPr>
          <w:rFonts w:hint="eastAsia"/>
          <w:szCs w:val="30"/>
        </w:rPr>
        <w:t>污染治理工作，累计整改汽修厂9家，现均已使用低VOCs原辅材料。深入开展柴油货车路检路查、入户检查工作，累计抽测柴油车尾气超过</w:t>
      </w:r>
      <w:r>
        <w:rPr>
          <w:szCs w:val="30"/>
        </w:rPr>
        <w:t>2888</w:t>
      </w:r>
      <w:r>
        <w:rPr>
          <w:rFonts w:hint="eastAsia"/>
        </w:rPr>
        <w:t>辆。</w:t>
      </w:r>
      <w:r>
        <w:t>完成2座区控空气质量自动监测站点建设。</w:t>
      </w:r>
      <w:r>
        <w:rPr>
          <w:lang w:val="zh-CN"/>
        </w:rPr>
        <w:t>大力整治建筑工地扬尘污染、油烟扰民、露天焚烧、烟花爆竹燃放等环保顽疾，空气质量持续改善。</w:t>
      </w:r>
      <w:r>
        <w:rPr>
          <w:rFonts w:hint="eastAsia"/>
          <w:b/>
          <w:bCs/>
        </w:rPr>
        <w:t>深入推进碧水保卫战。</w:t>
      </w:r>
      <w:r>
        <w:rPr>
          <w:rFonts w:hint="eastAsia"/>
        </w:rPr>
        <w:t>制定完善《满洲里市集中式饮用水水源地突发性水污染事件应急预案》。市污水处理厂一级A升级改造工程项目均已建成，通过环保验收和自主验收。市污水处理厂1.5万吨扩建项目已建成。大力加强地下水污染防治，我市中石油加油站地下罐防渗改造共计</w:t>
      </w:r>
      <w:r>
        <w:t>7</w:t>
      </w:r>
      <w:r>
        <w:rPr>
          <w:rFonts w:hint="eastAsia"/>
        </w:rPr>
        <w:t>个，加油站3</w:t>
      </w:r>
      <w:r>
        <w:t>2</w:t>
      </w:r>
      <w:r>
        <w:rPr>
          <w:rFonts w:hint="eastAsia"/>
        </w:rPr>
        <w:t>个油罐全部完成双层罐改造。</w:t>
      </w:r>
      <w:r>
        <w:rPr>
          <w:rFonts w:hint="eastAsia" w:ascii="仿宋_GB2312" w:hAnsi="仿宋"/>
          <w:szCs w:val="30"/>
        </w:rPr>
        <w:t>强化饮用水水源地环境保护。继续开展集中式饮用水水源保护区环境状况评估工作，加大饮用水水源保护区内违规建设项目清理整顿力度。</w:t>
      </w:r>
      <w:r>
        <w:rPr>
          <w:rFonts w:hint="eastAsia"/>
          <w:b/>
          <w:bCs/>
        </w:rPr>
        <w:t>全力推进净土保卫战。</w:t>
      </w:r>
      <w:r>
        <w:rPr>
          <w:rFonts w:hint="eastAsia"/>
        </w:rPr>
        <w:t>认真落实自治区、呼伦贝尔市《土壤污染防治法》执法检查要求，配合自治区、呼伦贝尔市完成我市土壤污染状况详查工作，确定我市土壤污染重点监管企业，督促企业定期开展土壤及地下水自行监测并向社会公开监测结果。全市固体废物、医疗废弃物收集率、处置率均达到100%。</w:t>
      </w:r>
    </w:p>
    <w:p>
      <w:pPr>
        <w:ind w:firstLine="602" w:firstLineChars="200"/>
      </w:pPr>
      <w:r>
        <w:rPr>
          <w:b/>
          <w:bCs/>
        </w:rPr>
        <w:t>生态系统服务功能显著增强</w:t>
      </w:r>
      <w:r>
        <w:rPr>
          <w:rFonts w:hint="eastAsia"/>
          <w:b/>
          <w:bCs/>
        </w:rPr>
        <w:t>。</w:t>
      </w:r>
      <w:r>
        <w:t>全</w:t>
      </w:r>
      <w:r>
        <w:rPr>
          <w:rFonts w:hint="eastAsia"/>
        </w:rPr>
        <w:t>市</w:t>
      </w:r>
      <w:r>
        <w:t>71.39</w:t>
      </w:r>
      <w:r>
        <w:rPr>
          <w:rFonts w:hint="eastAsia"/>
        </w:rPr>
        <w:t>平方公里</w:t>
      </w:r>
      <w:r>
        <w:t>的国土面积划入生态保护红线。</w:t>
      </w:r>
      <w:r>
        <w:rPr>
          <w:rFonts w:hint="eastAsia"/>
        </w:rPr>
        <w:t>完成绿化造林1.3</w:t>
      </w:r>
      <w:r>
        <w:t>3</w:t>
      </w:r>
      <w:r>
        <w:rPr>
          <w:rFonts w:hint="eastAsia"/>
        </w:rPr>
        <w:t>万亩，森林覆盖率达4.2%（按现在使用的林业数据计算），森林蓄积量保持在0.44万立方米，无退耕还林任务。</w:t>
      </w:r>
      <w:r>
        <w:t>建立健全了水资源管理制度和河湖长制，</w:t>
      </w:r>
      <w:r>
        <w:rPr>
          <w:rFonts w:hint="eastAsia"/>
        </w:rPr>
        <w:t>对二卡牧场水功能区水质断面实现全覆盖监测。霍尔津河为季节性河流，年平均径流量为1887.6万立方米，长度为24.693公里，流域面积6.82平方公里，霍尔津河流域环境保护和生态治理阶段性目标得以实现，栖息鸟类种数、鸟类个体数量显著增加。实施新开河生态修复和水环境治理项目，实现了人为干扰较大区域的水质提升。</w:t>
      </w:r>
    </w:p>
    <w:p>
      <w:pPr>
        <w:ind w:firstLine="601"/>
      </w:pPr>
      <w:r>
        <w:rPr>
          <w:b/>
          <w:bCs/>
        </w:rPr>
        <w:t>中央环保督察整改工作</w:t>
      </w:r>
      <w:r>
        <w:rPr>
          <w:rFonts w:hint="eastAsia"/>
          <w:b/>
          <w:bCs/>
        </w:rPr>
        <w:t>稳步落实</w:t>
      </w:r>
      <w:r>
        <w:rPr>
          <w:b/>
          <w:bCs/>
        </w:rPr>
        <w:t>。</w:t>
      </w:r>
      <w:r>
        <w:t>全力推动各项整改工作扎实有序开展。</w:t>
      </w:r>
      <w:r>
        <w:rPr>
          <w:rFonts w:hint="eastAsia"/>
        </w:rPr>
        <w:t>“十三五”期间涉及满洲里市整改问题46项，信访举报案件26件。其中，2016年中央环保督察反馈意见涉及我市整改问题12项，信访举报问题1件；2018年中央环保督察“回头看”及草原专项督察反馈意见涉及我市整改问题21项，信访举报案件17件，2020年自治区生态环境保护督察反馈意见涉及我市整改问题13项，信访举报案件8件，经各责任单位对档案资料梳理和现场点位核查，上述问题和举报案件均已完成整改并销号，无反弹问题和新问题。</w:t>
      </w:r>
    </w:p>
    <w:p>
      <w:pPr>
        <w:ind w:firstLine="601"/>
        <w:rPr>
          <w:rFonts w:cs="Times New Roman"/>
        </w:rPr>
      </w:pPr>
      <w:r>
        <w:rPr>
          <w:rFonts w:hint="eastAsia" w:cs="Times New Roman"/>
          <w:b/>
          <w:bCs/>
        </w:rPr>
        <w:t>生态</w:t>
      </w:r>
      <w:r>
        <w:rPr>
          <w:rFonts w:cs="Times New Roman"/>
          <w:b/>
          <w:bCs/>
        </w:rPr>
        <w:t>环境</w:t>
      </w:r>
      <w:r>
        <w:rPr>
          <w:rFonts w:hint="eastAsia" w:cs="Times New Roman"/>
          <w:b/>
          <w:bCs/>
        </w:rPr>
        <w:t>环保</w:t>
      </w:r>
      <w:r>
        <w:rPr>
          <w:rFonts w:cs="Times New Roman"/>
          <w:b/>
          <w:bCs/>
        </w:rPr>
        <w:t>监管机制逐渐完善。</w:t>
      </w:r>
      <w:r>
        <w:rPr>
          <w:rFonts w:cs="Times New Roman"/>
        </w:rPr>
        <w:t>严格建设项目环境准入，贯彻落实排污许可制，</w:t>
      </w:r>
      <w:r>
        <w:rPr>
          <w:rFonts w:hint="eastAsia" w:cs="Times New Roman"/>
        </w:rPr>
        <w:t>“</w:t>
      </w:r>
      <w:r>
        <w:rPr>
          <w:rFonts w:cs="Times New Roman"/>
        </w:rPr>
        <w:t>十三五</w:t>
      </w:r>
      <w:r>
        <w:rPr>
          <w:rFonts w:hint="eastAsia" w:cs="Times New Roman"/>
        </w:rPr>
        <w:t>”</w:t>
      </w:r>
      <w:r>
        <w:rPr>
          <w:rFonts w:cs="Times New Roman"/>
        </w:rPr>
        <w:t>期间，全市生态环境部门</w:t>
      </w:r>
      <w:r>
        <w:rPr>
          <w:rFonts w:hint="eastAsia" w:cs="Times New Roman"/>
        </w:rPr>
        <w:t>共发放排污许可证3</w:t>
      </w:r>
      <w:r>
        <w:rPr>
          <w:rFonts w:cs="Times New Roman"/>
        </w:rPr>
        <w:t>4</w:t>
      </w:r>
      <w:r>
        <w:rPr>
          <w:rFonts w:hint="eastAsia" w:cs="Times New Roman"/>
        </w:rPr>
        <w:t>个，其中重点管理</w:t>
      </w:r>
      <w:r>
        <w:rPr>
          <w:rFonts w:cs="Times New Roman"/>
        </w:rPr>
        <w:t>5</w:t>
      </w:r>
      <w:r>
        <w:rPr>
          <w:rFonts w:hint="eastAsia" w:cs="Times New Roman"/>
        </w:rPr>
        <w:t>个，简化管理2</w:t>
      </w:r>
      <w:r>
        <w:rPr>
          <w:rFonts w:cs="Times New Roman"/>
        </w:rPr>
        <w:t>9</w:t>
      </w:r>
      <w:r>
        <w:rPr>
          <w:rFonts w:hint="eastAsia" w:cs="Times New Roman"/>
        </w:rPr>
        <w:t>个，进行排污许可登记企业</w:t>
      </w:r>
      <w:r>
        <w:rPr>
          <w:rFonts w:cs="Times New Roman"/>
        </w:rPr>
        <w:t>199</w:t>
      </w:r>
      <w:r>
        <w:rPr>
          <w:rFonts w:hint="eastAsia" w:cs="Times New Roman"/>
        </w:rPr>
        <w:t>个。</w:t>
      </w:r>
      <w:r>
        <w:rPr>
          <w:rFonts w:cs="Times New Roman"/>
        </w:rPr>
        <w:t>完善“双随机”环境监管制度，对“双随机”系统污染源档案库进行更新调整，及时将新增重点排污企业纳入监管范围，调出一批停产停业以及规模小、污染低的企业，进一步提高了环境监管执法的针对性、有效性和科学性。严厉打击生态环境违法行为，组织开展了执法大练兵、</w:t>
      </w:r>
      <w:r>
        <w:rPr>
          <w:rFonts w:hint="eastAsia" w:cs="Times New Roman"/>
        </w:rPr>
        <w:t>“</w:t>
      </w:r>
      <w:r>
        <w:rPr>
          <w:rFonts w:cs="Times New Roman"/>
        </w:rPr>
        <w:t>散乱污</w:t>
      </w:r>
      <w:r>
        <w:rPr>
          <w:rFonts w:hint="eastAsia" w:cs="Times New Roman"/>
        </w:rPr>
        <w:t>”</w:t>
      </w:r>
      <w:r>
        <w:rPr>
          <w:rFonts w:cs="Times New Roman"/>
        </w:rPr>
        <w:t>企业专项整治等环保专项行动，对偷排偷放、恶意排污等危害群众健康、污染环境的违法犯罪行为，坚决依法查处。</w:t>
      </w:r>
      <w:r>
        <w:rPr>
          <w:rFonts w:hint="eastAsia" w:cs="Times New Roman"/>
        </w:rPr>
        <w:t>加大生态环境宣传教育力度，联合市普法专项组办公室开展“美丽中国，我是行动者”系列宣传活动，持续开展六五环境日、全国低碳日、国际生物多样性日等主题环保宣传活动，积极开展“送法律知识进企业”、“低碳进校园”、“低碳进社区”等主题环保实践活动，普及污染防治相关知识，加强法律法规政策宣传解读，进一步提升公众环境意识，在全社会营造崇尚生态文明、支持参与生态环境保护的良好氛围。</w:t>
      </w:r>
    </w:p>
    <w:p>
      <w:pPr>
        <w:ind w:firstLine="602" w:firstLineChars="200"/>
        <w:rPr>
          <w:rFonts w:cs="Times New Roman"/>
        </w:rPr>
      </w:pPr>
      <w:r>
        <w:rPr>
          <w:rFonts w:cs="Times New Roman"/>
          <w:b/>
          <w:bCs/>
          <w:lang w:val="zh-CN"/>
        </w:rPr>
        <w:t>环境风险防控能力</w:t>
      </w:r>
      <w:r>
        <w:rPr>
          <w:rFonts w:hint="eastAsia" w:cs="Times New Roman"/>
          <w:b/>
          <w:bCs/>
        </w:rPr>
        <w:t>显著提高</w:t>
      </w:r>
      <w:r>
        <w:rPr>
          <w:rFonts w:hint="eastAsia" w:cs="Times New Roman"/>
          <w:b/>
          <w:bCs/>
          <w:lang w:val="zh-CN"/>
        </w:rPr>
        <w:t>。</w:t>
      </w:r>
      <w:r>
        <w:rPr>
          <w:rFonts w:cs="Times New Roman"/>
        </w:rPr>
        <w:t>加强环境应急管理，规范核与辐射环境监督管理</w:t>
      </w:r>
      <w:r>
        <w:rPr>
          <w:rFonts w:hint="eastAsia" w:cs="Times New Roman"/>
        </w:rPr>
        <w:t>，将我市5家核技术利用单位纳入“国家核技术利用辐射安全监管系统”平台进行规范化管理。核技术利用单位每年开展年度安全评估并在系统平台上报，监管单位通过系统平台和现场检查方式，对核技术利用单位进行监督管理。</w:t>
      </w:r>
      <w:r>
        <w:rPr>
          <w:rFonts w:cs="Times New Roman"/>
        </w:rPr>
        <w:t>根据我市产业结构、环境风险状况等，对1家核技术利用单位开展隐患排查，完成</w:t>
      </w:r>
      <w:r>
        <w:rPr>
          <w:rFonts w:hint="eastAsia" w:cs="Times New Roman"/>
        </w:rPr>
        <w:t>1</w:t>
      </w:r>
      <w:r>
        <w:rPr>
          <w:rFonts w:cs="Times New Roman"/>
        </w:rPr>
        <w:t>家单位的辐射安全许可证申请、延续、变更工作。</w:t>
      </w:r>
      <w:r>
        <w:rPr>
          <w:rFonts w:hint="eastAsia" w:cs="Times New Roman"/>
        </w:rPr>
        <w:t>按自治区辐射监督管理站要求，完成口岸城市4个点位环境γ辐射空气吸收剂量率和部分重点监控场所工频电场、综合场强等项目的电磁辐射监测工作。顺利完成全市2020年危险化学品事故政企联动应急演练和自治区2020年生态环境监测系统辐射监测项目比对。</w:t>
      </w:r>
    </w:p>
    <w:p>
      <w:pPr>
        <w:ind w:firstLine="601"/>
        <w:rPr>
          <w:rFonts w:cs="Times New Roman"/>
          <w:b/>
          <w:bCs/>
        </w:rPr>
      </w:pPr>
      <w:r>
        <w:rPr>
          <w:rFonts w:hint="eastAsia" w:cs="Times New Roman"/>
          <w:b/>
          <w:bCs/>
          <w:szCs w:val="30"/>
        </w:rPr>
        <w:t>深入开展自然保护区监管。</w:t>
      </w:r>
      <w:r>
        <w:rPr>
          <w:rFonts w:hint="eastAsia" w:cs="Times New Roman"/>
        </w:rPr>
        <w:t>持续开展“绿盾2017、2018”自然保护区监督检查专项行动，配合推进自然保护区矿</w:t>
      </w:r>
      <w:r>
        <w:rPr>
          <w:rFonts w:hint="eastAsia" w:cs="Times New Roman"/>
          <w:szCs w:val="30"/>
        </w:rPr>
        <w:t>山退出</w:t>
      </w:r>
      <w:r>
        <w:rPr>
          <w:rFonts w:hint="eastAsia" w:cs="Times New Roman"/>
        </w:rPr>
        <w:t>、矿山整治以及违规征占用草原专项整治</w:t>
      </w:r>
      <w:r>
        <w:rPr>
          <w:rFonts w:cs="Times New Roman"/>
        </w:rPr>
        <w:t>。</w:t>
      </w:r>
      <w:r>
        <w:rPr>
          <w:rFonts w:hint="eastAsia"/>
        </w:rPr>
        <w:t>按照依法关停取缔一批、有序退出一批、整改完善一批的原则，持续推进满洲里市二卡湿地自然保护区内违法违规开发建设活动清理整顿。按照属地管理原则，明确各相关职能部门的管理责任。从严控制保护区项目审批，严格项目准入审查。</w:t>
      </w:r>
    </w:p>
    <w:p>
      <w:pPr>
        <w:ind w:firstLine="602" w:firstLineChars="200"/>
      </w:pPr>
      <w:r>
        <w:rPr>
          <w:rFonts w:cs="Times New Roman"/>
          <w:b/>
          <w:bCs/>
        </w:rPr>
        <w:t>稳步推进生态环境保障能力建设。</w:t>
      </w:r>
      <w:r>
        <w:rPr>
          <w:rFonts w:cs="Times New Roman"/>
        </w:rPr>
        <w:t>加强环保信息化应用系统支撑作用，市污染源在线监控平台联网排污企业</w:t>
      </w:r>
      <w:r>
        <w:rPr>
          <w:rFonts w:hint="eastAsia" w:cs="Times New Roman"/>
        </w:rPr>
        <w:t>6</w:t>
      </w:r>
      <w:r>
        <w:rPr>
          <w:rFonts w:cs="Times New Roman"/>
        </w:rPr>
        <w:t>家，实时监控污染物排放情况。联网机动车排放检验机构</w:t>
      </w:r>
      <w:r>
        <w:rPr>
          <w:rFonts w:hint="eastAsia" w:cs="Times New Roman"/>
        </w:rPr>
        <w:t>4</w:t>
      </w:r>
      <w:r>
        <w:rPr>
          <w:rFonts w:cs="Times New Roman"/>
        </w:rPr>
        <w:t>家、机动车尾气检测线</w:t>
      </w:r>
      <w:r>
        <w:rPr>
          <w:rFonts w:hint="eastAsia" w:cs="Times New Roman"/>
        </w:rPr>
        <w:t>10</w:t>
      </w:r>
      <w:r>
        <w:rPr>
          <w:rFonts w:cs="Times New Roman"/>
        </w:rPr>
        <w:t>条，实现检测过程实时监控、检测数据同步上传。完成全国第二次污染源普查工作，累计普查污染源企业</w:t>
      </w:r>
      <w:r>
        <w:rPr>
          <w:rFonts w:hint="eastAsia" w:cs="Times New Roman"/>
        </w:rPr>
        <w:t>289家</w:t>
      </w:r>
      <w:r>
        <w:rPr>
          <w:rFonts w:cs="Times New Roman"/>
        </w:rPr>
        <w:t>，进一步摸清了我市各类污染源数量、分布情况及污染物排放情况，建立了较为全面翔实的污染源档案。加强环境监测体系建设，完成2座区控空气质量自动监测站点建设。</w:t>
      </w:r>
    </w:p>
    <w:p>
      <w:pPr>
        <w:pStyle w:val="4"/>
      </w:pPr>
      <w:bookmarkStart w:id="2" w:name="_Toc123548269"/>
      <w:r>
        <w:rPr>
          <w:rFonts w:hint="eastAsia"/>
        </w:rPr>
        <w:t xml:space="preserve">第二节 </w:t>
      </w:r>
      <w:r>
        <w:t xml:space="preserve"> </w:t>
      </w:r>
      <w:r>
        <w:rPr>
          <w:rFonts w:hint="eastAsia"/>
        </w:rPr>
        <w:t>生态环境保护工作进入新阶段</w:t>
      </w:r>
      <w:bookmarkEnd w:id="2"/>
    </w:p>
    <w:p>
      <w:pPr>
        <w:ind w:firstLine="600" w:firstLineChars="200"/>
        <w:rPr>
          <w:rFonts w:cs="Times New Roman"/>
        </w:rPr>
      </w:pPr>
      <w:r>
        <w:rPr>
          <w:rFonts w:hint="eastAsia" w:cs="Times New Roman"/>
        </w:rPr>
        <w:t>“十四五”时期，是我市迈入社会主义现代化新征程、向着加快建设美丽开放繁荣幸福满洲里目标阔步前进的关键时期，也是我市抢抓历史机遇、实现高质量发展、积极融入新发展格局、打造对外开放新高地的关键五年。随着“一带一路”建设持续深化，新一轮西部大开发、东北振兴战略深入实施，自治区建设国家向北开放重要桥头堡行动加速推进，为我市发展带来了新的机遇。内蒙古自治区推动东中西部盟市差异化协调发展，将东部盟市生态极端重要性摆在更加突出的位置，要求我们把保护好大草原、大森林、大河湖、大湿地作为主要任务，为我市坚定不移地推进绿色发展提供了强大的动力支撑。我市高度重视生态环境保护，坚持走生态优先、绿色发展之路，确定了“生态产业化、产业生态化”的发展方向，为我们在新发展阶段更加做好生态环境保护、筑牢国家北方生态安全屏障奠定坚实基础。</w:t>
      </w:r>
    </w:p>
    <w:p>
      <w:pPr>
        <w:ind w:firstLine="600" w:firstLineChars="200"/>
        <w:rPr>
          <w:rStyle w:val="15"/>
          <w:rFonts w:cstheme="minorBidi"/>
          <w:kern w:val="2"/>
          <w:sz w:val="30"/>
          <w:szCs w:val="30"/>
        </w:rPr>
      </w:pPr>
      <w:r>
        <w:rPr>
          <w:rStyle w:val="15"/>
          <w:rFonts w:hint="eastAsia" w:cstheme="minorBidi"/>
          <w:kern w:val="2"/>
          <w:sz w:val="30"/>
          <w:szCs w:val="30"/>
        </w:rPr>
        <w:t>面对新的发展格局，我市生态环境保护迎来了新的挑战，生态环境质量状况与人民期待还有不小差距，全市生态环境保护工作任务依然任重道远。</w:t>
      </w:r>
    </w:p>
    <w:p>
      <w:pPr>
        <w:ind w:firstLine="602" w:firstLineChars="200"/>
        <w:rPr>
          <w:rFonts w:cs="Times New Roman"/>
        </w:rPr>
      </w:pPr>
      <w:r>
        <w:rPr>
          <w:rFonts w:hint="eastAsia" w:cs="Times New Roman"/>
          <w:b/>
          <w:bCs/>
        </w:rPr>
        <w:t>一是对标对表美丽中国建设目标，生态环境领域短板较为突出。</w:t>
      </w:r>
      <w:r>
        <w:rPr>
          <w:rFonts w:hint="eastAsia" w:cs="Times New Roman"/>
        </w:rPr>
        <w:t>我市能源结构仍以化石能源为主，能耗水平居高不下。碳排放总量大，节能降碳形势严峻，实现碳达峰、碳中和愿景目标任务异常艰巨。生态环境质量改善成效还不稳固，绿色生产生活方式尚未根本形成，优质生态产品供给还不能满足人民日益增长的美好生活需要，与人民对美好生活的期盼、与美丽中国目标要求还有很大差距。</w:t>
      </w:r>
    </w:p>
    <w:p>
      <w:pPr>
        <w:ind w:firstLine="602" w:firstLineChars="200"/>
        <w:rPr>
          <w:rFonts w:cs="Times New Roman"/>
        </w:rPr>
      </w:pPr>
      <w:r>
        <w:rPr>
          <w:rFonts w:hint="eastAsia" w:cs="Times New Roman"/>
          <w:b/>
          <w:bCs/>
        </w:rPr>
        <w:t>二是结构性矛盾仍未根本改变，环境压力持续增加。</w:t>
      </w:r>
      <w:r>
        <w:rPr>
          <w:rFonts w:hint="eastAsia" w:cs="Times New Roman"/>
        </w:rPr>
        <w:t>目前，全市火电、冬季集中采暖锅炉等资源消耗大的行业仍占有较大比例，一次能源结构仍以煤炭为主，消耗量较高问题依然存在，减煤降碳难度大。现代服务业发展相对滞后。因此，探索生态优先、绿色发展的高质量发展新路子，推动经济与生态保护协调发展，将是我市生态文明建设面临的重要挑战之一。</w:t>
      </w:r>
    </w:p>
    <w:p>
      <w:pPr>
        <w:ind w:firstLine="602" w:firstLineChars="200"/>
        <w:rPr>
          <w:rFonts w:cs="Times New Roman"/>
        </w:rPr>
      </w:pPr>
      <w:r>
        <w:rPr>
          <w:rFonts w:hint="eastAsia" w:cs="Times New Roman"/>
          <w:b/>
          <w:bCs/>
        </w:rPr>
        <w:t>三是生态环境问题依然突出，生态环境质量改善存在难度。</w:t>
      </w:r>
      <w:r>
        <w:rPr>
          <w:rFonts w:hint="eastAsia" w:cs="Times New Roman"/>
        </w:rPr>
        <w:t>水环境质量方面，流域水质改善难度较大。</w:t>
      </w:r>
      <w:r>
        <w:rPr>
          <w:rFonts w:hint="eastAsia"/>
        </w:rPr>
        <w:t>目前满洲里市辖区内只有一处地表水国考断面——二卡牧场，其水质目标为Ⅴ类。截止到2022年断面水质监测共五次，均为劣Ⅴ类。初步分析原因是受上游达赉湖湖水水质影响导致。</w:t>
      </w:r>
      <w:r>
        <w:rPr>
          <w:rFonts w:hint="eastAsia" w:cs="Times New Roman"/>
        </w:rPr>
        <w:t>土壤生态环境保护方面，耕地化肥、农药等多种污染途径影响，对土壤造成污染的潜在风险较大。危险废物、危险化学品、重金属等重大环境风险源大量存在，风险隐患防控存在薄弱环节，应急处置能力亟待提升，一般工业固废综合利用率较低，环境风险管控压力大。</w:t>
      </w:r>
    </w:p>
    <w:p>
      <w:pPr>
        <w:ind w:firstLine="602" w:firstLineChars="200"/>
      </w:pPr>
      <w:r>
        <w:rPr>
          <w:rFonts w:hint="eastAsia" w:cs="Times New Roman"/>
          <w:b/>
          <w:bCs/>
        </w:rPr>
        <w:t>四是生态环境治理体系仍不完善，生态环境治理能力亟需加强。</w:t>
      </w:r>
      <w:r>
        <w:t>生态文明法治体系、制度体系、执法监管体系和治理能力体系还不健全</w:t>
      </w:r>
      <w:r>
        <w:rPr>
          <w:rFonts w:hint="eastAsia"/>
        </w:rPr>
        <w:t>。</w:t>
      </w:r>
      <w:r>
        <w:rPr>
          <w:rFonts w:hint="eastAsia" w:cs="Times New Roman"/>
        </w:rPr>
        <w:t>生态环境治理更多依靠行政手段，相关责任主体内生动力不足，市场体系等还需进一步完善。相关部门领导责任体系仍然不够健全，一些企业主体责任没有落实到位，法治意识淡薄，依法保护和治理生态环境的自觉性还需加强。环境质量、污染源、生物多样性保护监测与信息化建设仍然滞后，科技创新能力不足，监管人员力量不足，与日益繁重的生态环境监管任务不相匹配。全民行动体系需要进一步建立和完善。</w:t>
      </w:r>
    </w:p>
    <w:p>
      <w:pPr>
        <w:pStyle w:val="3"/>
        <w:spacing w:before="408" w:after="204"/>
        <w:ind w:left="1440"/>
        <w:jc w:val="both"/>
      </w:pPr>
      <w:bookmarkStart w:id="3" w:name="_Toc123548270"/>
      <w:r>
        <w:rPr>
          <w:rFonts w:hint="eastAsia"/>
        </w:rPr>
        <w:t xml:space="preserve">第二章 </w:t>
      </w:r>
      <w:r>
        <w:t xml:space="preserve"> </w:t>
      </w:r>
      <w:r>
        <w:rPr>
          <w:rFonts w:hint="eastAsia"/>
        </w:rPr>
        <w:t>指导思想、原则和目标</w:t>
      </w:r>
      <w:bookmarkEnd w:id="3"/>
    </w:p>
    <w:p>
      <w:pPr>
        <w:pStyle w:val="4"/>
      </w:pPr>
      <w:bookmarkStart w:id="4" w:name="_Toc123548271"/>
      <w:r>
        <w:rPr>
          <w:rFonts w:hint="eastAsia"/>
        </w:rPr>
        <w:t xml:space="preserve">第一节 </w:t>
      </w:r>
      <w:r>
        <w:t xml:space="preserve"> </w:t>
      </w:r>
      <w:r>
        <w:rPr>
          <w:rFonts w:hint="eastAsia"/>
        </w:rPr>
        <w:t>指导思想</w:t>
      </w:r>
      <w:bookmarkEnd w:id="4"/>
    </w:p>
    <w:p>
      <w:pPr>
        <w:ind w:firstLine="600" w:firstLineChars="200"/>
      </w:pPr>
      <w:r>
        <w:rPr>
          <w:rFonts w:hint="eastAsia"/>
        </w:rPr>
        <w:t>高举中国特色社会主义伟大旗帜，以习近平新时代中国特色社会主义思想为指导，全面贯彻党的十九大和十九届历次全会精神，认真落实习近平生态文明思想和习近平总书记对内蒙古重要讲话重要指示批示精神，认真贯彻落实自治区第十一次党代会、呼伦贝尔市第五次党代会、中国共产党满洲里市第十七次代表大会精神，完整、准确、全面贯彻新发展理念，积极服务和融入新发展格局，全面深化改革开放，坚持创新驱动发展，统筹发展和安全，牢牢立足“两个屏障”“两个基地”和“一个桥头堡”的战略定位，深入落实自治区关于东部盟市发展的工作要求，坚定不移走以生态优先、绿色发展为导向的高质量发展新路子，保持加强生态文明建设的战略定力，深入贯彻落实“三线一单”生态环境分区管控措施，围绕碳达峰、碳中和目标愿景，推进减污降碳协同治理，加快实现绿色低碳发展，统筹山水林田湖草沙系统治理，提升生态系统稳定性和可持续性，全面构建现代环境治理体系、全面提升生态环境治理能力、全面改善生态环境质量、全面扩大优质生态产品供给。牢固树立“绿水青山就是金山银山”理念，坚决守护好满洲里这片绿色净土，筑牢我国北方重要生态安全屏障，奋力开创建设更加美丽富饶和谐安宁满洲里新局面。</w:t>
      </w:r>
    </w:p>
    <w:p>
      <w:pPr>
        <w:pStyle w:val="4"/>
      </w:pPr>
      <w:bookmarkStart w:id="5" w:name="_Toc123548272"/>
      <w:r>
        <w:rPr>
          <w:rFonts w:hint="eastAsia"/>
        </w:rPr>
        <w:t xml:space="preserve">第二节 </w:t>
      </w:r>
      <w:r>
        <w:t xml:space="preserve"> </w:t>
      </w:r>
      <w:r>
        <w:rPr>
          <w:rFonts w:hint="eastAsia"/>
        </w:rPr>
        <w:t>基本原则</w:t>
      </w:r>
      <w:bookmarkEnd w:id="5"/>
    </w:p>
    <w:p>
      <w:pPr>
        <w:ind w:firstLine="602" w:firstLineChars="200"/>
      </w:pPr>
      <w:r>
        <w:rPr>
          <w:rFonts w:hint="eastAsia"/>
          <w:b/>
          <w:bCs/>
        </w:rPr>
        <w:t>坚持生态优先</w:t>
      </w:r>
      <w:r>
        <w:rPr>
          <w:rFonts w:hint="eastAsia"/>
          <w:b/>
          <w:bCs/>
          <w:lang w:eastAsia="zh-CN"/>
        </w:rPr>
        <w:t>、绿</w:t>
      </w:r>
      <w:bookmarkStart w:id="58" w:name="_GoBack"/>
      <w:bookmarkEnd w:id="58"/>
      <w:r>
        <w:rPr>
          <w:rFonts w:hint="eastAsia"/>
          <w:b/>
          <w:bCs/>
        </w:rPr>
        <w:t>色发展。</w:t>
      </w:r>
      <w:r>
        <w:rPr>
          <w:rFonts w:hint="eastAsia"/>
        </w:rPr>
        <w:t>坚定不移走以生态优先、绿色发展为导向的高质量发展新路子，落实自治区“两个屏障”“两个基地”和“一个桥头堡”战略定位，共抓大保护，不搞大开发。以降碳为重点战略方向，加快调整产业结构、能源结构、交通运输结构、用地结构，大力支持绿色技术创新，推动减污降碳协同增效，促进经济社会发展全面绿色转型。</w:t>
      </w:r>
    </w:p>
    <w:p>
      <w:pPr>
        <w:ind w:firstLine="602" w:firstLineChars="200"/>
      </w:pPr>
      <w:r>
        <w:rPr>
          <w:rFonts w:hint="eastAsia"/>
          <w:b/>
          <w:bCs/>
        </w:rPr>
        <w:t>坚持人民至上，造福人民。</w:t>
      </w:r>
      <w:r>
        <w:rPr>
          <w:rFonts w:hint="eastAsia"/>
        </w:rPr>
        <w:t>全面践行以人民为中心的发展思想，把坚持人民至上、紧紧依靠人民、不断造福人民、牢牢植根人民的重要要求落实到生态环境保护工作中，下大力气解决群众反映突出生态环境问题，提供更多优质生态产品，增强人民群众对生态环境改善的幸福感、获得感和安全感。</w:t>
      </w:r>
    </w:p>
    <w:p>
      <w:pPr>
        <w:ind w:firstLine="602" w:firstLineChars="200"/>
      </w:pPr>
      <w:r>
        <w:rPr>
          <w:rFonts w:hint="eastAsia"/>
          <w:b/>
          <w:bCs/>
        </w:rPr>
        <w:t>坚持深化改革，创新发展。</w:t>
      </w:r>
      <w:r>
        <w:rPr>
          <w:rFonts w:hint="eastAsia"/>
        </w:rPr>
        <w:t>深化生态文明体制改革，加快推进生态环境治理体系和治理能力现代化，完善生态文明制度体系，健全生态环境监管体系。实施创新驱动发展战略，开展重点领域科技攻关，为科学决策、精准治污提供支撑，推动经济社会高质量发展。</w:t>
      </w:r>
    </w:p>
    <w:p>
      <w:pPr>
        <w:ind w:firstLine="602" w:firstLineChars="200"/>
      </w:pPr>
      <w:r>
        <w:rPr>
          <w:rFonts w:hint="eastAsia"/>
          <w:b/>
          <w:bCs/>
        </w:rPr>
        <w:t>坚持示范创新，彰显特色。</w:t>
      </w:r>
      <w:r>
        <w:rPr>
          <w:rFonts w:hint="eastAsia"/>
        </w:rPr>
        <w:t>按照国家创建生态文明示范建设的要求，全面加强生态空间、生态经济、生态环境、生态制度、生态文化与生态生活等方面的示范创新。优化国土空间格局，推进产业转型升级，大力提升环境质量，传承优秀生态文化，构建和谐优美的生态人居体系，探索和实施系列生态文明建设体制机制改革，充分体现质量和创新驱动的特色，探索具有地方特色的生态文明发展模式。</w:t>
      </w:r>
    </w:p>
    <w:p>
      <w:pPr>
        <w:ind w:firstLine="602" w:firstLineChars="200"/>
      </w:pPr>
      <w:r>
        <w:rPr>
          <w:rFonts w:hint="eastAsia"/>
          <w:b/>
          <w:bCs/>
        </w:rPr>
        <w:t>坚持系统观念，协同治理。</w:t>
      </w:r>
      <w:r>
        <w:rPr>
          <w:rFonts w:hint="eastAsia"/>
        </w:rPr>
        <w:t>以生态环境质量改善为核心，推动生态环境源头治理。坚持突出精准治污、科学治污、依法治污，协同推进减污降碳、推进城乡治理，强化区域联防联控。加强山水林田湖草沙系统治理、协同治理，提高生态环境综合治理的系统性和整体性。</w:t>
      </w:r>
    </w:p>
    <w:p>
      <w:pPr>
        <w:ind w:firstLine="602" w:firstLineChars="200"/>
      </w:pPr>
      <w:r>
        <w:rPr>
          <w:rFonts w:hint="eastAsia"/>
          <w:b/>
          <w:bCs/>
        </w:rPr>
        <w:t>坚持政府主导，共治共享。</w:t>
      </w:r>
      <w:r>
        <w:rPr>
          <w:rFonts w:hint="eastAsia"/>
        </w:rPr>
        <w:t>完善党委领导、政府主导、企业主体、社会组织和公众共同参与的现代环境治理体系，建设人人有责、人人尽责、人人享有的社会治理共同体，形成导向清晰、决策科学、执行有力、激励有效、多元参与、良性互动的“大环保格局”。</w:t>
      </w:r>
    </w:p>
    <w:p>
      <w:pPr>
        <w:pStyle w:val="4"/>
      </w:pPr>
      <w:bookmarkStart w:id="6" w:name="_Toc123548273"/>
      <w:r>
        <w:rPr>
          <w:rFonts w:hint="eastAsia"/>
        </w:rPr>
        <w:t xml:space="preserve">第三节 </w:t>
      </w:r>
      <w:r>
        <w:t xml:space="preserve"> </w:t>
      </w:r>
      <w:r>
        <w:rPr>
          <w:rFonts w:hint="eastAsia"/>
        </w:rPr>
        <w:t>主要目标</w:t>
      </w:r>
      <w:bookmarkEnd w:id="6"/>
    </w:p>
    <w:p>
      <w:pPr>
        <w:ind w:firstLine="600" w:firstLineChars="200"/>
      </w:pPr>
      <w:r>
        <w:t>展望二〇三五年，绿色生产生活方式广泛形成，碳排放达峰后稳中有降，经济社会发展全面绿色转型，生态环境根本好转，生态安全屏障更加牢固。以生态优先、绿色发展为导向的高质量发展水平大幅跃升，应对气候变化能力明显提升，大气、水、土壤环境质量持续改善，环境风险得到全面管控，基本满足人民对优美生态环境的需要，生态环境治理体系和治理能力现代化基本实现。</w:t>
      </w:r>
    </w:p>
    <w:p>
      <w:pPr>
        <w:ind w:firstLine="600" w:firstLineChars="200"/>
      </w:pPr>
      <w:r>
        <w:rPr>
          <w:rFonts w:hint="eastAsia"/>
        </w:rPr>
        <w:t>“十四五”时期，立足我市区位优势和资源环境承载能力，以建设生态安全屏障、构筑万里绿色长城为引领，以生态优先、绿色发展为导向，以保障民生、改善环境为根本，以建设美丽富饶和谐安宁的满洲里为目标。生态保护的主要目标；</w:t>
      </w:r>
    </w:p>
    <w:p>
      <w:pPr>
        <w:ind w:firstLine="600" w:firstLineChars="200"/>
      </w:pPr>
      <w:r>
        <w:rPr>
          <w:rFonts w:hint="eastAsia"/>
        </w:rPr>
        <w:t>——生态优先、绿色发展取得实质性进展。</w:t>
      </w:r>
      <w:r>
        <w:t>到2025年，国土空间开发保护格局得到优化，绿色循环低碳发展的产业体系不断完善，以生态优先、绿色发展为导向的高质量发展取得实质性进展。</w:t>
      </w:r>
    </w:p>
    <w:p>
      <w:pPr>
        <w:ind w:firstLine="600" w:firstLineChars="200"/>
        <w:rPr>
          <w:highlight w:val="red"/>
        </w:rPr>
      </w:pPr>
      <w:r>
        <w:rPr>
          <w:rFonts w:hint="eastAsia"/>
        </w:rPr>
        <w:t>——生态环境质量持续改善。空气环境质量、水环境质量保持稳定，土壤生态环境质量稳定向好，城乡人居环境明显改善，主要污染物排放总量持续减少。</w:t>
      </w:r>
      <w:r>
        <w:rPr>
          <w:rFonts w:cs="Times New Roman"/>
        </w:rPr>
        <w:t>其中2020年PM</w:t>
      </w:r>
      <w:r>
        <w:rPr>
          <w:rFonts w:cs="Times New Roman"/>
          <w:vertAlign w:val="subscript"/>
        </w:rPr>
        <w:t>2.5</w:t>
      </w:r>
      <w:r>
        <w:rPr>
          <w:rFonts w:cs="Times New Roman"/>
        </w:rPr>
        <w:t>年平均浓度为10μg/m</w:t>
      </w:r>
      <w:r>
        <w:rPr>
          <w:rFonts w:cs="Times New Roman"/>
          <w:vertAlign w:val="superscript"/>
        </w:rPr>
        <w:t>3</w:t>
      </w:r>
      <w:r>
        <w:rPr>
          <w:rFonts w:cs="Times New Roman"/>
        </w:rPr>
        <w:t>，</w:t>
      </w:r>
      <w:r>
        <w:rPr>
          <w:rFonts w:hint="eastAsia"/>
        </w:rPr>
        <w:t>到2025年，环境空气质量优良天数比率保持稳定，同时PM</w:t>
      </w:r>
      <w:r>
        <w:rPr>
          <w:rFonts w:hint="eastAsia"/>
          <w:vertAlign w:val="subscript"/>
        </w:rPr>
        <w:t>2.5</w:t>
      </w:r>
      <w:r>
        <w:rPr>
          <w:rFonts w:hint="eastAsia"/>
        </w:rPr>
        <w:t>浓度达到呼伦贝尔市考核要求。</w:t>
      </w:r>
      <w:r>
        <w:t>生态功能显著增强，生态环境持续改善。</w:t>
      </w:r>
    </w:p>
    <w:p>
      <w:pPr>
        <w:ind w:firstLine="600" w:firstLineChars="200"/>
      </w:pPr>
      <w:r>
        <w:rPr>
          <w:rFonts w:hint="eastAsia"/>
        </w:rPr>
        <w:t>——生态系统质量和稳定性稳步提升。实施二卡湿地河湖工程、霍尔津河流域治理，建立健康水生态系统，以呼伦贝尔国家公园为主体的自然保护地体系初步形成，草原综合植被盖度和森林蓄积量实现“双提升”生物多样性得到有效保护，生态系统服务功能不断增强，生态保护监管能力不断加强，国家北方生态安全屏障构筑的更加牢固。</w:t>
      </w:r>
    </w:p>
    <w:p>
      <w:pPr>
        <w:ind w:firstLine="600" w:firstLineChars="200"/>
      </w:pPr>
      <w:r>
        <w:rPr>
          <w:rFonts w:hint="eastAsia"/>
        </w:rPr>
        <w:t>——环境风险得到有效控制。</w:t>
      </w:r>
      <w:r>
        <w:t>到2025年，土壤安全利用水平巩固提升，</w:t>
      </w:r>
      <w:r>
        <w:rPr>
          <w:rFonts w:hint="eastAsia"/>
        </w:rPr>
        <w:t>继续保持耕地地块零污染</w:t>
      </w:r>
      <w:r>
        <w:t>，固体废物与化学物质环境风险防控能力明显增强，确保核与辐射安全，环境风险得到有效管控。</w:t>
      </w:r>
    </w:p>
    <w:p>
      <w:pPr>
        <w:ind w:firstLine="600" w:firstLineChars="200"/>
      </w:pPr>
      <w:r>
        <w:rPr>
          <w:rFonts w:hint="eastAsia"/>
        </w:rPr>
        <w:t>——生态环境治理体系进一步健全。</w:t>
      </w:r>
      <w:r>
        <w:t>到2025年，</w:t>
      </w:r>
      <w:r>
        <w:rPr>
          <w:rFonts w:hint="eastAsia"/>
        </w:rPr>
        <w:t>“</w:t>
      </w:r>
      <w:r>
        <w:t>绿水青山就是金山银山</w:t>
      </w:r>
      <w:r>
        <w:rPr>
          <w:rFonts w:hint="eastAsia"/>
        </w:rPr>
        <w:t>”</w:t>
      </w:r>
      <w:r>
        <w:t>的理念深入人心，生态文明制度体系不断完善，生态环境治理能力得到提升，精准治污、科学治污、依法治污水平全面提升，生态环境治理效能获得新提升。</w:t>
      </w:r>
    </w:p>
    <w:tbl>
      <w:tblPr>
        <w:tblStyle w:val="12"/>
        <w:tblW w:w="5068" w:type="pct"/>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27"/>
        <w:gridCol w:w="583"/>
        <w:gridCol w:w="859"/>
        <w:gridCol w:w="875"/>
        <w:gridCol w:w="2195"/>
        <w:gridCol w:w="1457"/>
        <w:gridCol w:w="1604"/>
        <w:gridCol w:w="1032"/>
        <w:gridCol w:w="12"/>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Before w:val="1"/>
          <w:wBefore w:w="15" w:type="pct"/>
        </w:trPr>
        <w:tc>
          <w:tcPr>
            <w:tcW w:w="4985" w:type="pct"/>
            <w:gridSpan w:val="8"/>
            <w:vAlign w:val="center"/>
          </w:tcPr>
          <w:p>
            <w:pPr>
              <w:spacing w:line="240" w:lineRule="auto"/>
              <w:jc w:val="center"/>
              <w:rPr>
                <w:rFonts w:cs="Times New Roman"/>
                <w:sz w:val="24"/>
              </w:rPr>
            </w:pPr>
            <w:bookmarkStart w:id="7" w:name="_Hlk116840190"/>
            <w:r>
              <w:rPr>
                <w:rFonts w:cs="Times New Roman"/>
                <w:sz w:val="24"/>
              </w:rPr>
              <w:t>专栏1  满洲里市“十四五”生态环境保护规划主要指标目标</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Before w:val="1"/>
          <w:wBefore w:w="15" w:type="pct"/>
        </w:trPr>
        <w:tc>
          <w:tcPr>
            <w:tcW w:w="2609" w:type="pct"/>
            <w:gridSpan w:val="4"/>
            <w:vAlign w:val="center"/>
          </w:tcPr>
          <w:p>
            <w:pPr>
              <w:spacing w:line="240" w:lineRule="auto"/>
              <w:jc w:val="center"/>
              <w:rPr>
                <w:rFonts w:cs="Times New Roman"/>
                <w:sz w:val="24"/>
              </w:rPr>
            </w:pPr>
            <w:r>
              <w:rPr>
                <w:rFonts w:cs="Times New Roman"/>
                <w:sz w:val="24"/>
              </w:rPr>
              <w:t>指标</w:t>
            </w:r>
          </w:p>
        </w:tc>
        <w:tc>
          <w:tcPr>
            <w:tcW w:w="843" w:type="pct"/>
            <w:vAlign w:val="center"/>
          </w:tcPr>
          <w:p>
            <w:pPr>
              <w:spacing w:line="240" w:lineRule="auto"/>
              <w:jc w:val="center"/>
              <w:rPr>
                <w:rFonts w:cs="Times New Roman"/>
                <w:sz w:val="24"/>
              </w:rPr>
            </w:pPr>
            <w:r>
              <w:rPr>
                <w:rFonts w:cs="Times New Roman"/>
                <w:sz w:val="24"/>
              </w:rPr>
              <w:t>2020年现状值</w:t>
            </w:r>
          </w:p>
        </w:tc>
        <w:tc>
          <w:tcPr>
            <w:tcW w:w="928" w:type="pct"/>
            <w:vAlign w:val="center"/>
          </w:tcPr>
          <w:p>
            <w:pPr>
              <w:spacing w:line="240" w:lineRule="auto"/>
              <w:jc w:val="center"/>
              <w:rPr>
                <w:rFonts w:cs="Times New Roman"/>
                <w:sz w:val="24"/>
              </w:rPr>
            </w:pPr>
            <w:r>
              <w:rPr>
                <w:rFonts w:cs="Times New Roman"/>
                <w:sz w:val="24"/>
              </w:rPr>
              <w:t>2025年目标值</w:t>
            </w:r>
          </w:p>
        </w:tc>
        <w:tc>
          <w:tcPr>
            <w:tcW w:w="605" w:type="pct"/>
            <w:gridSpan w:val="2"/>
            <w:vAlign w:val="center"/>
          </w:tcPr>
          <w:p>
            <w:pPr>
              <w:spacing w:line="240" w:lineRule="auto"/>
              <w:jc w:val="center"/>
              <w:rPr>
                <w:rFonts w:cs="Times New Roman"/>
                <w:sz w:val="24"/>
              </w:rPr>
            </w:pPr>
            <w:r>
              <w:rPr>
                <w:rFonts w:cs="Times New Roman"/>
                <w:sz w:val="24"/>
              </w:rPr>
              <w:t>属性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Before w:val="1"/>
          <w:wBefore w:w="15" w:type="pct"/>
        </w:trPr>
        <w:tc>
          <w:tcPr>
            <w:tcW w:w="337" w:type="pct"/>
            <w:vAlign w:val="center"/>
          </w:tcPr>
          <w:p>
            <w:pPr>
              <w:spacing w:line="240" w:lineRule="auto"/>
              <w:jc w:val="center"/>
              <w:rPr>
                <w:rFonts w:cs="Times New Roman"/>
                <w:sz w:val="24"/>
              </w:rPr>
            </w:pPr>
            <w:r>
              <w:rPr>
                <w:rFonts w:cs="Times New Roman"/>
                <w:sz w:val="24"/>
              </w:rPr>
              <w:t>1</w:t>
            </w:r>
          </w:p>
        </w:tc>
        <w:tc>
          <w:tcPr>
            <w:tcW w:w="497" w:type="pct"/>
            <w:vMerge w:val="restart"/>
            <w:vAlign w:val="center"/>
          </w:tcPr>
          <w:p>
            <w:pPr>
              <w:spacing w:line="240" w:lineRule="auto"/>
              <w:jc w:val="center"/>
              <w:rPr>
                <w:rFonts w:cs="Times New Roman"/>
                <w:sz w:val="24"/>
              </w:rPr>
            </w:pPr>
            <w:r>
              <w:rPr>
                <w:rFonts w:cs="Times New Roman"/>
                <w:sz w:val="24"/>
              </w:rPr>
              <w:t>生态环境质量</w:t>
            </w:r>
          </w:p>
        </w:tc>
        <w:tc>
          <w:tcPr>
            <w:tcW w:w="506" w:type="pct"/>
            <w:vMerge w:val="restart"/>
            <w:vAlign w:val="center"/>
          </w:tcPr>
          <w:p>
            <w:pPr>
              <w:spacing w:line="240" w:lineRule="auto"/>
              <w:jc w:val="center"/>
              <w:rPr>
                <w:rFonts w:cs="Times New Roman"/>
                <w:sz w:val="24"/>
              </w:rPr>
            </w:pPr>
            <w:r>
              <w:rPr>
                <w:rFonts w:cs="Times New Roman"/>
                <w:sz w:val="24"/>
              </w:rPr>
              <w:t>空气质量</w:t>
            </w:r>
          </w:p>
        </w:tc>
        <w:tc>
          <w:tcPr>
            <w:tcW w:w="1270" w:type="pct"/>
            <w:vAlign w:val="center"/>
          </w:tcPr>
          <w:p>
            <w:pPr>
              <w:spacing w:line="240" w:lineRule="auto"/>
              <w:jc w:val="center"/>
              <w:rPr>
                <w:rFonts w:cs="Times New Roman"/>
                <w:sz w:val="24"/>
              </w:rPr>
            </w:pPr>
            <w:r>
              <w:rPr>
                <w:rFonts w:cs="Times New Roman"/>
                <w:sz w:val="24"/>
              </w:rPr>
              <w:t>空气质量优良天数比率（%）</w:t>
            </w:r>
          </w:p>
        </w:tc>
        <w:tc>
          <w:tcPr>
            <w:tcW w:w="843" w:type="pct"/>
            <w:vAlign w:val="center"/>
          </w:tcPr>
          <w:p>
            <w:pPr>
              <w:spacing w:line="240" w:lineRule="auto"/>
              <w:jc w:val="center"/>
              <w:rPr>
                <w:rFonts w:cs="Times New Roman"/>
                <w:sz w:val="24"/>
              </w:rPr>
            </w:pPr>
            <w:r>
              <w:rPr>
                <w:rFonts w:cs="Times New Roman"/>
                <w:sz w:val="24"/>
              </w:rPr>
              <w:t>99.7%</w:t>
            </w:r>
          </w:p>
        </w:tc>
        <w:tc>
          <w:tcPr>
            <w:tcW w:w="928" w:type="pct"/>
            <w:vAlign w:val="center"/>
          </w:tcPr>
          <w:p>
            <w:pPr>
              <w:spacing w:line="240" w:lineRule="auto"/>
              <w:jc w:val="center"/>
              <w:rPr>
                <w:rFonts w:cs="Times New Roman"/>
                <w:sz w:val="24"/>
              </w:rPr>
            </w:pPr>
            <w:r>
              <w:rPr>
                <w:rFonts w:cs="Times New Roman"/>
                <w:sz w:val="24"/>
              </w:rPr>
              <w:t>达到呼伦贝尔市考核目标</w:t>
            </w:r>
          </w:p>
        </w:tc>
        <w:tc>
          <w:tcPr>
            <w:tcW w:w="605" w:type="pct"/>
            <w:gridSpan w:val="2"/>
            <w:vAlign w:val="center"/>
          </w:tcPr>
          <w:p>
            <w:pPr>
              <w:spacing w:line="240" w:lineRule="auto"/>
              <w:jc w:val="center"/>
              <w:rPr>
                <w:rFonts w:cs="Times New Roman"/>
                <w:sz w:val="24"/>
              </w:rPr>
            </w:pPr>
            <w:r>
              <w:rPr>
                <w:rFonts w:cs="Times New Roman"/>
                <w:sz w:val="24"/>
              </w:rPr>
              <w:t>约束性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gridBefore w:val="1"/>
          <w:wBefore w:w="15" w:type="pct"/>
        </w:trPr>
        <w:tc>
          <w:tcPr>
            <w:tcW w:w="337" w:type="pct"/>
            <w:vAlign w:val="center"/>
          </w:tcPr>
          <w:p>
            <w:pPr>
              <w:spacing w:line="240" w:lineRule="auto"/>
              <w:jc w:val="center"/>
              <w:rPr>
                <w:rFonts w:cs="Times New Roman"/>
                <w:sz w:val="24"/>
              </w:rPr>
            </w:pPr>
            <w:r>
              <w:rPr>
                <w:rFonts w:cs="Times New Roman"/>
                <w:sz w:val="24"/>
              </w:rPr>
              <w:t>2</w:t>
            </w:r>
          </w:p>
        </w:tc>
        <w:tc>
          <w:tcPr>
            <w:tcW w:w="497" w:type="pct"/>
            <w:vMerge w:val="continue"/>
            <w:vAlign w:val="center"/>
          </w:tcPr>
          <w:p>
            <w:pPr>
              <w:spacing w:line="240" w:lineRule="auto"/>
              <w:jc w:val="center"/>
              <w:rPr>
                <w:rFonts w:cs="Times New Roman"/>
                <w:sz w:val="24"/>
              </w:rPr>
            </w:pPr>
          </w:p>
        </w:tc>
        <w:tc>
          <w:tcPr>
            <w:tcW w:w="506" w:type="pct"/>
            <w:vMerge w:val="continue"/>
            <w:vAlign w:val="center"/>
          </w:tcPr>
          <w:p>
            <w:pPr>
              <w:spacing w:line="240" w:lineRule="auto"/>
              <w:jc w:val="center"/>
              <w:rPr>
                <w:rFonts w:cs="Times New Roman"/>
                <w:sz w:val="24"/>
              </w:rPr>
            </w:pPr>
          </w:p>
        </w:tc>
        <w:tc>
          <w:tcPr>
            <w:tcW w:w="1270" w:type="pct"/>
            <w:vAlign w:val="center"/>
          </w:tcPr>
          <w:p>
            <w:pPr>
              <w:spacing w:line="240" w:lineRule="auto"/>
              <w:jc w:val="center"/>
              <w:rPr>
                <w:rFonts w:cs="Times New Roman"/>
                <w:sz w:val="24"/>
              </w:rPr>
            </w:pPr>
            <w:r>
              <w:rPr>
                <w:rFonts w:cs="Times New Roman"/>
                <w:sz w:val="24"/>
              </w:rPr>
              <w:t>细颗粒物（PM</w:t>
            </w:r>
            <w:r>
              <w:rPr>
                <w:rFonts w:cs="Times New Roman"/>
                <w:sz w:val="24"/>
                <w:vertAlign w:val="subscript"/>
              </w:rPr>
              <w:t>2.5</w:t>
            </w:r>
            <w:r>
              <w:rPr>
                <w:rFonts w:cs="Times New Roman"/>
                <w:sz w:val="24"/>
              </w:rPr>
              <w:t>）浓度（微克/立方米）</w:t>
            </w:r>
          </w:p>
        </w:tc>
        <w:tc>
          <w:tcPr>
            <w:tcW w:w="843" w:type="pct"/>
            <w:vAlign w:val="center"/>
          </w:tcPr>
          <w:p>
            <w:pPr>
              <w:spacing w:line="240" w:lineRule="auto"/>
              <w:jc w:val="center"/>
              <w:rPr>
                <w:rFonts w:cs="Times New Roman"/>
                <w:sz w:val="24"/>
              </w:rPr>
            </w:pPr>
            <w:r>
              <w:rPr>
                <w:rFonts w:cs="Times New Roman"/>
                <w:sz w:val="24"/>
              </w:rPr>
              <w:t>1</w:t>
            </w:r>
            <w:r>
              <w:rPr>
                <w:rFonts w:hint="eastAsia" w:cs="Times New Roman"/>
                <w:sz w:val="24"/>
              </w:rPr>
              <w:t>0</w:t>
            </w:r>
          </w:p>
        </w:tc>
        <w:tc>
          <w:tcPr>
            <w:tcW w:w="928" w:type="pct"/>
            <w:vAlign w:val="center"/>
          </w:tcPr>
          <w:p>
            <w:pPr>
              <w:spacing w:line="240" w:lineRule="auto"/>
              <w:jc w:val="center"/>
              <w:rPr>
                <w:rFonts w:cs="Times New Roman"/>
                <w:sz w:val="24"/>
              </w:rPr>
            </w:pPr>
            <w:r>
              <w:rPr>
                <w:rFonts w:cs="Times New Roman"/>
                <w:sz w:val="24"/>
              </w:rPr>
              <w:t>达到呼伦贝尔市考核目标</w:t>
            </w:r>
          </w:p>
        </w:tc>
        <w:tc>
          <w:tcPr>
            <w:tcW w:w="605" w:type="pct"/>
            <w:gridSpan w:val="2"/>
            <w:vAlign w:val="center"/>
          </w:tcPr>
          <w:p>
            <w:pPr>
              <w:spacing w:line="240" w:lineRule="auto"/>
              <w:jc w:val="center"/>
              <w:rPr>
                <w:rFonts w:cs="Times New Roman"/>
                <w:sz w:val="24"/>
              </w:rPr>
            </w:pPr>
            <w:r>
              <w:rPr>
                <w:rFonts w:cs="Times New Roman"/>
                <w:sz w:val="24"/>
              </w:rPr>
              <w:t>约束性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Before w:val="1"/>
          <w:wBefore w:w="15" w:type="pct"/>
        </w:trPr>
        <w:tc>
          <w:tcPr>
            <w:tcW w:w="337" w:type="pct"/>
            <w:vAlign w:val="center"/>
          </w:tcPr>
          <w:p>
            <w:pPr>
              <w:spacing w:line="240" w:lineRule="auto"/>
              <w:jc w:val="center"/>
              <w:rPr>
                <w:rFonts w:cs="Times New Roman"/>
                <w:sz w:val="24"/>
              </w:rPr>
            </w:pPr>
            <w:r>
              <w:rPr>
                <w:rFonts w:cs="Times New Roman"/>
                <w:sz w:val="24"/>
              </w:rPr>
              <w:t>3</w:t>
            </w:r>
          </w:p>
        </w:tc>
        <w:tc>
          <w:tcPr>
            <w:tcW w:w="497" w:type="pct"/>
            <w:vMerge w:val="continue"/>
            <w:vAlign w:val="center"/>
          </w:tcPr>
          <w:p>
            <w:pPr>
              <w:spacing w:line="240" w:lineRule="auto"/>
              <w:jc w:val="center"/>
              <w:rPr>
                <w:rFonts w:cs="Times New Roman"/>
                <w:sz w:val="24"/>
              </w:rPr>
            </w:pPr>
          </w:p>
        </w:tc>
        <w:tc>
          <w:tcPr>
            <w:tcW w:w="506" w:type="pct"/>
            <w:vMerge w:val="continue"/>
            <w:vAlign w:val="center"/>
          </w:tcPr>
          <w:p>
            <w:pPr>
              <w:spacing w:line="240" w:lineRule="auto"/>
              <w:jc w:val="center"/>
              <w:rPr>
                <w:rFonts w:cs="Times New Roman"/>
                <w:sz w:val="24"/>
              </w:rPr>
            </w:pPr>
          </w:p>
        </w:tc>
        <w:tc>
          <w:tcPr>
            <w:tcW w:w="1270" w:type="pct"/>
            <w:vAlign w:val="center"/>
          </w:tcPr>
          <w:p>
            <w:pPr>
              <w:spacing w:line="240" w:lineRule="auto"/>
              <w:jc w:val="center"/>
              <w:rPr>
                <w:rFonts w:cs="Times New Roman"/>
                <w:sz w:val="24"/>
              </w:rPr>
            </w:pPr>
            <w:r>
              <w:rPr>
                <w:rFonts w:cs="Times New Roman"/>
                <w:sz w:val="24"/>
              </w:rPr>
              <w:t>重污染天气比率（%）</w:t>
            </w:r>
          </w:p>
        </w:tc>
        <w:tc>
          <w:tcPr>
            <w:tcW w:w="843" w:type="pct"/>
            <w:vAlign w:val="center"/>
          </w:tcPr>
          <w:p>
            <w:pPr>
              <w:spacing w:line="240" w:lineRule="auto"/>
              <w:jc w:val="center"/>
              <w:rPr>
                <w:rFonts w:cs="Times New Roman"/>
                <w:sz w:val="24"/>
              </w:rPr>
            </w:pPr>
            <w:r>
              <w:rPr>
                <w:rFonts w:cs="Times New Roman"/>
                <w:sz w:val="24"/>
              </w:rPr>
              <w:t>0</w:t>
            </w:r>
          </w:p>
        </w:tc>
        <w:tc>
          <w:tcPr>
            <w:tcW w:w="928" w:type="pct"/>
            <w:vAlign w:val="center"/>
          </w:tcPr>
          <w:p>
            <w:pPr>
              <w:spacing w:line="240" w:lineRule="auto"/>
              <w:jc w:val="center"/>
              <w:rPr>
                <w:rFonts w:cs="Times New Roman"/>
                <w:sz w:val="24"/>
              </w:rPr>
            </w:pPr>
            <w:r>
              <w:rPr>
                <w:rFonts w:cs="Times New Roman"/>
                <w:sz w:val="24"/>
              </w:rPr>
              <w:t>0</w:t>
            </w:r>
          </w:p>
        </w:tc>
        <w:tc>
          <w:tcPr>
            <w:tcW w:w="605" w:type="pct"/>
            <w:gridSpan w:val="2"/>
            <w:vAlign w:val="center"/>
          </w:tcPr>
          <w:p>
            <w:pPr>
              <w:spacing w:line="240" w:lineRule="auto"/>
              <w:jc w:val="center"/>
              <w:rPr>
                <w:rFonts w:cs="Times New Roman"/>
                <w:sz w:val="24"/>
              </w:rPr>
            </w:pPr>
            <w:r>
              <w:rPr>
                <w:rFonts w:cs="Times New Roman"/>
                <w:sz w:val="24"/>
              </w:rPr>
              <w:t>约束性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Before w:val="1"/>
          <w:wBefore w:w="15" w:type="pct"/>
        </w:trPr>
        <w:tc>
          <w:tcPr>
            <w:tcW w:w="337" w:type="pct"/>
            <w:vAlign w:val="center"/>
          </w:tcPr>
          <w:p>
            <w:pPr>
              <w:spacing w:line="240" w:lineRule="auto"/>
              <w:jc w:val="center"/>
              <w:rPr>
                <w:rFonts w:cs="Times New Roman"/>
                <w:sz w:val="24"/>
              </w:rPr>
            </w:pPr>
            <w:r>
              <w:rPr>
                <w:rFonts w:cs="Times New Roman"/>
                <w:sz w:val="24"/>
              </w:rPr>
              <w:t>4</w:t>
            </w:r>
          </w:p>
        </w:tc>
        <w:tc>
          <w:tcPr>
            <w:tcW w:w="497" w:type="pct"/>
            <w:vMerge w:val="continue"/>
            <w:vAlign w:val="center"/>
          </w:tcPr>
          <w:p>
            <w:pPr>
              <w:spacing w:line="240" w:lineRule="auto"/>
              <w:jc w:val="center"/>
              <w:rPr>
                <w:rFonts w:cs="Times New Roman"/>
                <w:sz w:val="24"/>
              </w:rPr>
            </w:pPr>
          </w:p>
        </w:tc>
        <w:tc>
          <w:tcPr>
            <w:tcW w:w="506" w:type="pct"/>
            <w:vMerge w:val="restart"/>
            <w:vAlign w:val="center"/>
          </w:tcPr>
          <w:p>
            <w:pPr>
              <w:spacing w:line="240" w:lineRule="auto"/>
              <w:jc w:val="center"/>
              <w:rPr>
                <w:rFonts w:cs="Times New Roman"/>
                <w:sz w:val="24"/>
              </w:rPr>
            </w:pPr>
            <w:r>
              <w:rPr>
                <w:rFonts w:cs="Times New Roman"/>
                <w:sz w:val="24"/>
              </w:rPr>
              <w:t>水生态环境</w:t>
            </w:r>
          </w:p>
        </w:tc>
        <w:tc>
          <w:tcPr>
            <w:tcW w:w="1270" w:type="pct"/>
            <w:vAlign w:val="center"/>
          </w:tcPr>
          <w:p>
            <w:pPr>
              <w:spacing w:line="240" w:lineRule="auto"/>
              <w:jc w:val="center"/>
              <w:rPr>
                <w:rFonts w:cs="Times New Roman"/>
                <w:sz w:val="24"/>
              </w:rPr>
            </w:pPr>
            <w:r>
              <w:rPr>
                <w:rFonts w:cs="Times New Roman"/>
                <w:sz w:val="24"/>
              </w:rPr>
              <w:t>地表水考核断面水质好于Ⅲ类水体比例（%）</w:t>
            </w:r>
          </w:p>
        </w:tc>
        <w:tc>
          <w:tcPr>
            <w:tcW w:w="843" w:type="pct"/>
            <w:vAlign w:val="center"/>
          </w:tcPr>
          <w:p>
            <w:pPr>
              <w:spacing w:line="240" w:lineRule="auto"/>
              <w:jc w:val="center"/>
              <w:rPr>
                <w:rFonts w:cs="Times New Roman"/>
                <w:sz w:val="24"/>
              </w:rPr>
            </w:pPr>
            <w:r>
              <w:rPr>
                <w:rFonts w:cs="Times New Roman"/>
                <w:sz w:val="24"/>
              </w:rPr>
              <w:t>70.6</w:t>
            </w:r>
          </w:p>
        </w:tc>
        <w:tc>
          <w:tcPr>
            <w:tcW w:w="928" w:type="pct"/>
            <w:vAlign w:val="center"/>
          </w:tcPr>
          <w:p>
            <w:pPr>
              <w:spacing w:line="240" w:lineRule="auto"/>
              <w:jc w:val="center"/>
              <w:rPr>
                <w:rFonts w:cs="Times New Roman"/>
                <w:sz w:val="24"/>
              </w:rPr>
            </w:pPr>
            <w:r>
              <w:rPr>
                <w:rFonts w:cs="Times New Roman"/>
                <w:sz w:val="24"/>
              </w:rPr>
              <w:t>达到呼伦贝尔市考核目标</w:t>
            </w:r>
          </w:p>
        </w:tc>
        <w:tc>
          <w:tcPr>
            <w:tcW w:w="605" w:type="pct"/>
            <w:gridSpan w:val="2"/>
            <w:vAlign w:val="center"/>
          </w:tcPr>
          <w:p>
            <w:pPr>
              <w:spacing w:line="240" w:lineRule="auto"/>
              <w:jc w:val="center"/>
              <w:rPr>
                <w:rFonts w:cs="Times New Roman"/>
                <w:sz w:val="24"/>
              </w:rPr>
            </w:pPr>
            <w:r>
              <w:rPr>
                <w:rFonts w:cs="Times New Roman"/>
                <w:sz w:val="24"/>
              </w:rPr>
              <w:t>约束性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Before w:val="1"/>
          <w:wBefore w:w="15" w:type="pct"/>
        </w:trPr>
        <w:tc>
          <w:tcPr>
            <w:tcW w:w="337" w:type="pct"/>
            <w:vAlign w:val="center"/>
          </w:tcPr>
          <w:p>
            <w:pPr>
              <w:spacing w:line="240" w:lineRule="auto"/>
              <w:jc w:val="center"/>
              <w:rPr>
                <w:rFonts w:cs="Times New Roman"/>
                <w:sz w:val="24"/>
              </w:rPr>
            </w:pPr>
            <w:r>
              <w:rPr>
                <w:rFonts w:cs="Times New Roman"/>
                <w:sz w:val="24"/>
              </w:rPr>
              <w:t>5</w:t>
            </w:r>
          </w:p>
        </w:tc>
        <w:tc>
          <w:tcPr>
            <w:tcW w:w="497" w:type="pct"/>
            <w:vMerge w:val="continue"/>
            <w:vAlign w:val="center"/>
          </w:tcPr>
          <w:p>
            <w:pPr>
              <w:spacing w:line="240" w:lineRule="auto"/>
              <w:jc w:val="center"/>
              <w:rPr>
                <w:rFonts w:cs="Times New Roman"/>
                <w:sz w:val="24"/>
              </w:rPr>
            </w:pPr>
          </w:p>
        </w:tc>
        <w:tc>
          <w:tcPr>
            <w:tcW w:w="506" w:type="pct"/>
            <w:vMerge w:val="continue"/>
            <w:vAlign w:val="center"/>
          </w:tcPr>
          <w:p>
            <w:pPr>
              <w:spacing w:line="240" w:lineRule="auto"/>
              <w:jc w:val="center"/>
              <w:rPr>
                <w:rFonts w:cs="Times New Roman"/>
                <w:sz w:val="24"/>
              </w:rPr>
            </w:pPr>
          </w:p>
        </w:tc>
        <w:tc>
          <w:tcPr>
            <w:tcW w:w="1270" w:type="pct"/>
            <w:vAlign w:val="center"/>
          </w:tcPr>
          <w:p>
            <w:pPr>
              <w:spacing w:line="240" w:lineRule="auto"/>
              <w:jc w:val="center"/>
              <w:rPr>
                <w:rFonts w:cs="Times New Roman"/>
                <w:sz w:val="24"/>
              </w:rPr>
            </w:pPr>
            <w:r>
              <w:rPr>
                <w:rFonts w:cs="Times New Roman"/>
                <w:sz w:val="24"/>
              </w:rPr>
              <w:t>地表水考核断面水质劣V类水体比例（%）</w:t>
            </w:r>
          </w:p>
        </w:tc>
        <w:tc>
          <w:tcPr>
            <w:tcW w:w="843" w:type="pct"/>
            <w:vAlign w:val="center"/>
          </w:tcPr>
          <w:p>
            <w:pPr>
              <w:spacing w:line="240" w:lineRule="auto"/>
              <w:jc w:val="center"/>
              <w:rPr>
                <w:rFonts w:cs="Times New Roman"/>
                <w:sz w:val="24"/>
              </w:rPr>
            </w:pPr>
            <w:r>
              <w:rPr>
                <w:rFonts w:cs="Times New Roman"/>
                <w:sz w:val="24"/>
              </w:rPr>
              <w:t>5.9</w:t>
            </w:r>
          </w:p>
        </w:tc>
        <w:tc>
          <w:tcPr>
            <w:tcW w:w="928" w:type="pct"/>
            <w:vAlign w:val="center"/>
          </w:tcPr>
          <w:p>
            <w:pPr>
              <w:spacing w:line="240" w:lineRule="auto"/>
              <w:jc w:val="center"/>
              <w:rPr>
                <w:rFonts w:cs="Times New Roman"/>
                <w:sz w:val="24"/>
              </w:rPr>
            </w:pPr>
            <w:r>
              <w:rPr>
                <w:rFonts w:hint="eastAsia" w:cs="Times New Roman"/>
                <w:sz w:val="24"/>
              </w:rPr>
              <w:t>达到呼伦贝尔市考核目标</w:t>
            </w:r>
          </w:p>
        </w:tc>
        <w:tc>
          <w:tcPr>
            <w:tcW w:w="605" w:type="pct"/>
            <w:gridSpan w:val="2"/>
            <w:vAlign w:val="center"/>
          </w:tcPr>
          <w:p>
            <w:pPr>
              <w:spacing w:line="240" w:lineRule="auto"/>
              <w:jc w:val="center"/>
              <w:rPr>
                <w:rFonts w:cs="Times New Roman"/>
                <w:sz w:val="24"/>
              </w:rPr>
            </w:pPr>
            <w:r>
              <w:rPr>
                <w:rFonts w:cs="Times New Roman"/>
                <w:sz w:val="24"/>
              </w:rPr>
              <w:t>约束性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gridBefore w:val="1"/>
          <w:wBefore w:w="15" w:type="pct"/>
        </w:trPr>
        <w:tc>
          <w:tcPr>
            <w:tcW w:w="337" w:type="pct"/>
            <w:vAlign w:val="center"/>
          </w:tcPr>
          <w:p>
            <w:pPr>
              <w:spacing w:line="240" w:lineRule="auto"/>
              <w:jc w:val="center"/>
              <w:rPr>
                <w:rFonts w:cs="Times New Roman"/>
                <w:sz w:val="24"/>
              </w:rPr>
            </w:pPr>
            <w:r>
              <w:rPr>
                <w:rFonts w:cs="Times New Roman"/>
                <w:sz w:val="24"/>
              </w:rPr>
              <w:t>6</w:t>
            </w:r>
          </w:p>
        </w:tc>
        <w:tc>
          <w:tcPr>
            <w:tcW w:w="497" w:type="pct"/>
            <w:vMerge w:val="continue"/>
            <w:vAlign w:val="center"/>
          </w:tcPr>
          <w:p>
            <w:pPr>
              <w:spacing w:line="240" w:lineRule="auto"/>
              <w:jc w:val="center"/>
              <w:rPr>
                <w:rFonts w:cs="Times New Roman"/>
                <w:sz w:val="24"/>
              </w:rPr>
            </w:pPr>
          </w:p>
        </w:tc>
        <w:tc>
          <w:tcPr>
            <w:tcW w:w="506" w:type="pct"/>
            <w:vMerge w:val="continue"/>
            <w:vAlign w:val="center"/>
          </w:tcPr>
          <w:p>
            <w:pPr>
              <w:spacing w:line="240" w:lineRule="auto"/>
              <w:jc w:val="center"/>
              <w:rPr>
                <w:rFonts w:cs="Times New Roman"/>
                <w:sz w:val="24"/>
              </w:rPr>
            </w:pPr>
          </w:p>
        </w:tc>
        <w:tc>
          <w:tcPr>
            <w:tcW w:w="1270" w:type="pct"/>
            <w:vAlign w:val="center"/>
          </w:tcPr>
          <w:p>
            <w:pPr>
              <w:spacing w:line="240" w:lineRule="auto"/>
              <w:jc w:val="center"/>
              <w:rPr>
                <w:rFonts w:cs="Times New Roman"/>
                <w:sz w:val="24"/>
              </w:rPr>
            </w:pPr>
            <w:r>
              <w:rPr>
                <w:rFonts w:cs="Times New Roman"/>
                <w:sz w:val="24"/>
              </w:rPr>
              <w:t>城市黑臭水体比例（%）</w:t>
            </w:r>
          </w:p>
        </w:tc>
        <w:tc>
          <w:tcPr>
            <w:tcW w:w="843" w:type="pct"/>
            <w:vAlign w:val="center"/>
          </w:tcPr>
          <w:p>
            <w:pPr>
              <w:spacing w:line="240" w:lineRule="auto"/>
              <w:jc w:val="center"/>
              <w:rPr>
                <w:rFonts w:cs="Times New Roman"/>
                <w:sz w:val="24"/>
              </w:rPr>
            </w:pPr>
            <w:r>
              <w:rPr>
                <w:rFonts w:cs="Times New Roman"/>
                <w:sz w:val="24"/>
              </w:rPr>
              <w:t>0</w:t>
            </w:r>
          </w:p>
        </w:tc>
        <w:tc>
          <w:tcPr>
            <w:tcW w:w="928" w:type="pct"/>
            <w:vAlign w:val="center"/>
          </w:tcPr>
          <w:p>
            <w:pPr>
              <w:spacing w:line="240" w:lineRule="auto"/>
              <w:jc w:val="center"/>
              <w:rPr>
                <w:rFonts w:cs="Times New Roman"/>
                <w:sz w:val="24"/>
              </w:rPr>
            </w:pPr>
            <w:r>
              <w:rPr>
                <w:rFonts w:cs="Times New Roman"/>
                <w:sz w:val="24"/>
              </w:rPr>
              <w:t>0</w:t>
            </w:r>
          </w:p>
        </w:tc>
        <w:tc>
          <w:tcPr>
            <w:tcW w:w="605" w:type="pct"/>
            <w:gridSpan w:val="2"/>
            <w:vAlign w:val="center"/>
          </w:tcPr>
          <w:p>
            <w:pPr>
              <w:spacing w:line="240" w:lineRule="auto"/>
              <w:jc w:val="center"/>
              <w:rPr>
                <w:rFonts w:cs="Times New Roman"/>
                <w:sz w:val="24"/>
              </w:rPr>
            </w:pPr>
            <w:r>
              <w:rPr>
                <w:rFonts w:cs="Times New Roman"/>
                <w:sz w:val="24"/>
              </w:rPr>
              <w:t>预期性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Before w:val="1"/>
          <w:wBefore w:w="15" w:type="pct"/>
        </w:trPr>
        <w:tc>
          <w:tcPr>
            <w:tcW w:w="337" w:type="pct"/>
            <w:vAlign w:val="center"/>
          </w:tcPr>
          <w:p>
            <w:pPr>
              <w:spacing w:line="240" w:lineRule="auto"/>
              <w:jc w:val="center"/>
              <w:rPr>
                <w:rFonts w:cs="Times New Roman"/>
                <w:sz w:val="24"/>
              </w:rPr>
            </w:pPr>
            <w:r>
              <w:rPr>
                <w:rFonts w:cs="Times New Roman"/>
                <w:sz w:val="24"/>
              </w:rPr>
              <w:t>7</w:t>
            </w:r>
          </w:p>
        </w:tc>
        <w:tc>
          <w:tcPr>
            <w:tcW w:w="497" w:type="pct"/>
            <w:vMerge w:val="restart"/>
            <w:vAlign w:val="center"/>
          </w:tcPr>
          <w:p>
            <w:pPr>
              <w:spacing w:line="240" w:lineRule="auto"/>
              <w:jc w:val="center"/>
              <w:rPr>
                <w:rFonts w:cs="Times New Roman"/>
                <w:sz w:val="24"/>
              </w:rPr>
            </w:pPr>
            <w:r>
              <w:rPr>
                <w:rFonts w:cs="Times New Roman"/>
                <w:sz w:val="24"/>
              </w:rPr>
              <w:t>绿色化发展</w:t>
            </w:r>
          </w:p>
        </w:tc>
        <w:tc>
          <w:tcPr>
            <w:tcW w:w="506" w:type="pct"/>
            <w:vMerge w:val="restart"/>
            <w:vAlign w:val="center"/>
          </w:tcPr>
          <w:p>
            <w:pPr>
              <w:spacing w:line="240" w:lineRule="auto"/>
              <w:jc w:val="center"/>
              <w:rPr>
                <w:rFonts w:cs="Times New Roman"/>
                <w:sz w:val="24"/>
              </w:rPr>
            </w:pPr>
            <w:r>
              <w:rPr>
                <w:rFonts w:cs="Times New Roman"/>
                <w:sz w:val="24"/>
              </w:rPr>
              <w:t>应对气候变化</w:t>
            </w:r>
          </w:p>
        </w:tc>
        <w:tc>
          <w:tcPr>
            <w:tcW w:w="1270" w:type="pct"/>
            <w:vAlign w:val="center"/>
          </w:tcPr>
          <w:p>
            <w:pPr>
              <w:spacing w:line="240" w:lineRule="auto"/>
              <w:jc w:val="center"/>
              <w:rPr>
                <w:rFonts w:cs="Times New Roman"/>
                <w:sz w:val="24"/>
              </w:rPr>
            </w:pPr>
            <w:r>
              <w:rPr>
                <w:rFonts w:cs="Times New Roman"/>
                <w:sz w:val="24"/>
              </w:rPr>
              <w:t>单位国内生产总值二氧化碳排放降低（%）</w:t>
            </w:r>
          </w:p>
        </w:tc>
        <w:tc>
          <w:tcPr>
            <w:tcW w:w="843" w:type="pct"/>
            <w:vAlign w:val="center"/>
          </w:tcPr>
          <w:p>
            <w:pPr>
              <w:spacing w:line="240" w:lineRule="auto"/>
              <w:jc w:val="center"/>
              <w:rPr>
                <w:rFonts w:cs="Times New Roman"/>
                <w:sz w:val="24"/>
              </w:rPr>
            </w:pPr>
            <w:r>
              <w:rPr>
                <w:rFonts w:cs="Times New Roman"/>
                <w:sz w:val="24"/>
              </w:rPr>
              <w:t>1.45</w:t>
            </w:r>
          </w:p>
        </w:tc>
        <w:tc>
          <w:tcPr>
            <w:tcW w:w="928" w:type="pct"/>
            <w:vAlign w:val="center"/>
          </w:tcPr>
          <w:p>
            <w:pPr>
              <w:spacing w:line="240" w:lineRule="auto"/>
              <w:jc w:val="center"/>
              <w:rPr>
                <w:rFonts w:cs="Times New Roman"/>
                <w:sz w:val="24"/>
              </w:rPr>
            </w:pPr>
            <w:r>
              <w:rPr>
                <w:rFonts w:cs="Times New Roman"/>
                <w:sz w:val="24"/>
              </w:rPr>
              <w:t>达到呼伦贝尔市考核目标</w:t>
            </w:r>
          </w:p>
        </w:tc>
        <w:tc>
          <w:tcPr>
            <w:tcW w:w="605" w:type="pct"/>
            <w:gridSpan w:val="2"/>
            <w:vAlign w:val="center"/>
          </w:tcPr>
          <w:p>
            <w:pPr>
              <w:spacing w:line="240" w:lineRule="auto"/>
              <w:jc w:val="center"/>
              <w:rPr>
                <w:rFonts w:cs="Times New Roman"/>
                <w:sz w:val="24"/>
              </w:rPr>
            </w:pPr>
            <w:r>
              <w:rPr>
                <w:rFonts w:cs="Times New Roman"/>
                <w:sz w:val="24"/>
              </w:rPr>
              <w:t>约束性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Before w:val="1"/>
          <w:wBefore w:w="15" w:type="pct"/>
        </w:trPr>
        <w:tc>
          <w:tcPr>
            <w:tcW w:w="337" w:type="pct"/>
            <w:vAlign w:val="center"/>
          </w:tcPr>
          <w:p>
            <w:pPr>
              <w:spacing w:line="240" w:lineRule="auto"/>
              <w:jc w:val="center"/>
              <w:rPr>
                <w:rFonts w:cs="Times New Roman"/>
                <w:sz w:val="24"/>
              </w:rPr>
            </w:pPr>
            <w:r>
              <w:rPr>
                <w:rFonts w:cs="Times New Roman"/>
                <w:sz w:val="24"/>
              </w:rPr>
              <w:t>8</w:t>
            </w:r>
          </w:p>
        </w:tc>
        <w:tc>
          <w:tcPr>
            <w:tcW w:w="497" w:type="pct"/>
            <w:vMerge w:val="continue"/>
            <w:vAlign w:val="center"/>
          </w:tcPr>
          <w:p>
            <w:pPr>
              <w:spacing w:line="240" w:lineRule="auto"/>
              <w:jc w:val="center"/>
              <w:rPr>
                <w:rFonts w:cs="Times New Roman"/>
                <w:sz w:val="24"/>
              </w:rPr>
            </w:pPr>
          </w:p>
        </w:tc>
        <w:tc>
          <w:tcPr>
            <w:tcW w:w="506" w:type="pct"/>
            <w:vMerge w:val="continue"/>
            <w:vAlign w:val="center"/>
          </w:tcPr>
          <w:p>
            <w:pPr>
              <w:spacing w:line="240" w:lineRule="auto"/>
              <w:jc w:val="center"/>
              <w:rPr>
                <w:rFonts w:cs="Times New Roman"/>
                <w:sz w:val="24"/>
              </w:rPr>
            </w:pPr>
          </w:p>
        </w:tc>
        <w:tc>
          <w:tcPr>
            <w:tcW w:w="1270" w:type="pct"/>
            <w:vAlign w:val="center"/>
          </w:tcPr>
          <w:p>
            <w:pPr>
              <w:spacing w:line="240" w:lineRule="auto"/>
              <w:jc w:val="center"/>
              <w:rPr>
                <w:rFonts w:cs="Times New Roman"/>
                <w:sz w:val="24"/>
              </w:rPr>
            </w:pPr>
            <w:r>
              <w:rPr>
                <w:rFonts w:cs="Times New Roman"/>
                <w:sz w:val="24"/>
              </w:rPr>
              <w:t>单位国内生产总值能源消耗降低（%）</w:t>
            </w:r>
          </w:p>
        </w:tc>
        <w:tc>
          <w:tcPr>
            <w:tcW w:w="843" w:type="pct"/>
            <w:vAlign w:val="center"/>
          </w:tcPr>
          <w:p>
            <w:pPr>
              <w:spacing w:line="240" w:lineRule="auto"/>
              <w:jc w:val="center"/>
              <w:rPr>
                <w:rFonts w:cs="Times New Roman"/>
                <w:sz w:val="24"/>
              </w:rPr>
            </w:pPr>
            <w:r>
              <w:rPr>
                <w:rFonts w:cs="Times New Roman"/>
                <w:sz w:val="24"/>
              </w:rPr>
              <w:t>8.4</w:t>
            </w:r>
          </w:p>
        </w:tc>
        <w:tc>
          <w:tcPr>
            <w:tcW w:w="928" w:type="pct"/>
            <w:vAlign w:val="center"/>
          </w:tcPr>
          <w:p>
            <w:pPr>
              <w:spacing w:line="240" w:lineRule="auto"/>
              <w:jc w:val="center"/>
              <w:rPr>
                <w:rFonts w:cs="Times New Roman"/>
                <w:sz w:val="24"/>
              </w:rPr>
            </w:pPr>
            <w:r>
              <w:rPr>
                <w:rFonts w:cs="Times New Roman"/>
                <w:sz w:val="24"/>
              </w:rPr>
              <w:t>达到呼伦贝尔市考核目标</w:t>
            </w:r>
          </w:p>
        </w:tc>
        <w:tc>
          <w:tcPr>
            <w:tcW w:w="605" w:type="pct"/>
            <w:gridSpan w:val="2"/>
            <w:vAlign w:val="center"/>
          </w:tcPr>
          <w:p>
            <w:pPr>
              <w:spacing w:line="240" w:lineRule="auto"/>
              <w:jc w:val="center"/>
              <w:rPr>
                <w:rFonts w:cs="Times New Roman"/>
                <w:sz w:val="24"/>
              </w:rPr>
            </w:pPr>
            <w:r>
              <w:rPr>
                <w:rFonts w:cs="Times New Roman"/>
                <w:sz w:val="24"/>
              </w:rPr>
              <w:t>约束性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Before w:val="1"/>
          <w:wBefore w:w="15" w:type="pct"/>
        </w:trPr>
        <w:tc>
          <w:tcPr>
            <w:tcW w:w="337" w:type="pct"/>
            <w:vAlign w:val="center"/>
          </w:tcPr>
          <w:p>
            <w:pPr>
              <w:spacing w:line="240" w:lineRule="auto"/>
              <w:jc w:val="center"/>
              <w:rPr>
                <w:rFonts w:cs="Times New Roman"/>
                <w:sz w:val="24"/>
              </w:rPr>
            </w:pPr>
            <w:r>
              <w:rPr>
                <w:rFonts w:cs="Times New Roman"/>
                <w:sz w:val="24"/>
              </w:rPr>
              <w:t>9-</w:t>
            </w:r>
          </w:p>
        </w:tc>
        <w:tc>
          <w:tcPr>
            <w:tcW w:w="497" w:type="pct"/>
            <w:vMerge w:val="continue"/>
            <w:vAlign w:val="center"/>
          </w:tcPr>
          <w:p>
            <w:pPr>
              <w:spacing w:line="240" w:lineRule="auto"/>
              <w:jc w:val="center"/>
              <w:rPr>
                <w:rFonts w:cs="Times New Roman"/>
                <w:sz w:val="24"/>
              </w:rPr>
            </w:pPr>
          </w:p>
        </w:tc>
        <w:tc>
          <w:tcPr>
            <w:tcW w:w="506" w:type="pct"/>
            <w:vMerge w:val="continue"/>
            <w:vAlign w:val="center"/>
          </w:tcPr>
          <w:p>
            <w:pPr>
              <w:spacing w:line="240" w:lineRule="auto"/>
              <w:jc w:val="center"/>
              <w:rPr>
                <w:rFonts w:cs="Times New Roman"/>
                <w:sz w:val="24"/>
              </w:rPr>
            </w:pPr>
          </w:p>
        </w:tc>
        <w:tc>
          <w:tcPr>
            <w:tcW w:w="1270" w:type="pct"/>
            <w:vAlign w:val="center"/>
          </w:tcPr>
          <w:p>
            <w:pPr>
              <w:spacing w:line="240" w:lineRule="auto"/>
              <w:jc w:val="center"/>
              <w:rPr>
                <w:rFonts w:cs="Times New Roman"/>
                <w:sz w:val="24"/>
              </w:rPr>
            </w:pPr>
            <w:r>
              <w:rPr>
                <w:rFonts w:cs="Times New Roman"/>
                <w:sz w:val="24"/>
              </w:rPr>
              <w:t>非化石能源占一次能源消费比例（%）</w:t>
            </w:r>
          </w:p>
        </w:tc>
        <w:tc>
          <w:tcPr>
            <w:tcW w:w="843" w:type="pct"/>
            <w:vAlign w:val="center"/>
          </w:tcPr>
          <w:p>
            <w:pPr>
              <w:spacing w:line="240" w:lineRule="auto"/>
              <w:jc w:val="center"/>
              <w:rPr>
                <w:rFonts w:cs="Times New Roman"/>
                <w:sz w:val="24"/>
              </w:rPr>
            </w:pPr>
            <w:r>
              <w:rPr>
                <w:rFonts w:cs="Times New Roman"/>
                <w:sz w:val="24"/>
              </w:rPr>
              <w:t>2.34</w:t>
            </w:r>
          </w:p>
        </w:tc>
        <w:tc>
          <w:tcPr>
            <w:tcW w:w="928" w:type="pct"/>
            <w:vAlign w:val="center"/>
          </w:tcPr>
          <w:p>
            <w:pPr>
              <w:spacing w:line="240" w:lineRule="auto"/>
              <w:jc w:val="center"/>
              <w:rPr>
                <w:rFonts w:cs="Times New Roman"/>
                <w:sz w:val="24"/>
              </w:rPr>
            </w:pPr>
            <w:r>
              <w:rPr>
                <w:rFonts w:cs="Times New Roman"/>
                <w:sz w:val="24"/>
              </w:rPr>
              <w:t>达到呼伦贝尔市考核目标</w:t>
            </w:r>
          </w:p>
        </w:tc>
        <w:tc>
          <w:tcPr>
            <w:tcW w:w="605" w:type="pct"/>
            <w:gridSpan w:val="2"/>
            <w:vAlign w:val="center"/>
          </w:tcPr>
          <w:p>
            <w:pPr>
              <w:spacing w:line="240" w:lineRule="auto"/>
              <w:jc w:val="center"/>
              <w:rPr>
                <w:rFonts w:cs="Times New Roman"/>
                <w:sz w:val="24"/>
              </w:rPr>
            </w:pPr>
            <w:r>
              <w:rPr>
                <w:rFonts w:cs="Times New Roman"/>
                <w:sz w:val="24"/>
              </w:rPr>
              <w:t>预期性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gridBefore w:val="1"/>
          <w:wBefore w:w="15" w:type="pct"/>
        </w:trPr>
        <w:tc>
          <w:tcPr>
            <w:tcW w:w="337" w:type="pct"/>
            <w:vAlign w:val="center"/>
          </w:tcPr>
          <w:p>
            <w:pPr>
              <w:spacing w:line="240" w:lineRule="auto"/>
              <w:jc w:val="center"/>
              <w:rPr>
                <w:rFonts w:cs="Times New Roman"/>
                <w:sz w:val="24"/>
              </w:rPr>
            </w:pPr>
            <w:r>
              <w:rPr>
                <w:rFonts w:cs="Times New Roman"/>
                <w:sz w:val="24"/>
              </w:rPr>
              <w:t>10</w:t>
            </w:r>
          </w:p>
        </w:tc>
        <w:tc>
          <w:tcPr>
            <w:tcW w:w="497" w:type="pct"/>
            <w:vMerge w:val="continue"/>
            <w:vAlign w:val="center"/>
          </w:tcPr>
          <w:p>
            <w:pPr>
              <w:spacing w:line="240" w:lineRule="auto"/>
              <w:jc w:val="center"/>
              <w:rPr>
                <w:rFonts w:cs="Times New Roman"/>
                <w:sz w:val="24"/>
              </w:rPr>
            </w:pPr>
          </w:p>
        </w:tc>
        <w:tc>
          <w:tcPr>
            <w:tcW w:w="506" w:type="pct"/>
            <w:vMerge w:val="restart"/>
            <w:vAlign w:val="center"/>
          </w:tcPr>
          <w:p>
            <w:pPr>
              <w:spacing w:line="240" w:lineRule="auto"/>
              <w:jc w:val="center"/>
              <w:rPr>
                <w:rFonts w:cs="Times New Roman"/>
                <w:sz w:val="24"/>
              </w:rPr>
            </w:pPr>
            <w:r>
              <w:rPr>
                <w:rFonts w:cs="Times New Roman"/>
                <w:sz w:val="24"/>
              </w:rPr>
              <w:t>主要污染物排放总量</w:t>
            </w:r>
          </w:p>
        </w:tc>
        <w:tc>
          <w:tcPr>
            <w:tcW w:w="1270" w:type="pct"/>
            <w:vAlign w:val="center"/>
          </w:tcPr>
          <w:p>
            <w:pPr>
              <w:spacing w:line="240" w:lineRule="auto"/>
              <w:jc w:val="center"/>
              <w:rPr>
                <w:rFonts w:cs="Times New Roman"/>
                <w:sz w:val="24"/>
              </w:rPr>
            </w:pPr>
            <w:r>
              <w:rPr>
                <w:rFonts w:cs="Times New Roman"/>
                <w:sz w:val="24"/>
              </w:rPr>
              <w:t>氮氧化物排放量减少比例（%）</w:t>
            </w:r>
          </w:p>
        </w:tc>
        <w:tc>
          <w:tcPr>
            <w:tcW w:w="843" w:type="pct"/>
            <w:vAlign w:val="center"/>
          </w:tcPr>
          <w:p>
            <w:pPr>
              <w:spacing w:line="240" w:lineRule="auto"/>
              <w:jc w:val="center"/>
              <w:rPr>
                <w:rFonts w:cs="Times New Roman"/>
                <w:sz w:val="24"/>
              </w:rPr>
            </w:pPr>
            <w:r>
              <w:rPr>
                <w:rFonts w:cs="Times New Roman"/>
                <w:sz w:val="24"/>
              </w:rPr>
              <w:t>--</w:t>
            </w:r>
          </w:p>
        </w:tc>
        <w:tc>
          <w:tcPr>
            <w:tcW w:w="928" w:type="pct"/>
            <w:vAlign w:val="center"/>
          </w:tcPr>
          <w:p>
            <w:pPr>
              <w:spacing w:line="240" w:lineRule="auto"/>
              <w:jc w:val="center"/>
              <w:rPr>
                <w:rFonts w:cs="Times New Roman"/>
                <w:sz w:val="24"/>
              </w:rPr>
            </w:pPr>
            <w:r>
              <w:rPr>
                <w:rFonts w:cs="Times New Roman"/>
                <w:sz w:val="24"/>
              </w:rPr>
              <w:t>达到呼伦贝尔市考核目标</w:t>
            </w:r>
          </w:p>
        </w:tc>
        <w:tc>
          <w:tcPr>
            <w:tcW w:w="605" w:type="pct"/>
            <w:gridSpan w:val="2"/>
            <w:vAlign w:val="center"/>
          </w:tcPr>
          <w:p>
            <w:pPr>
              <w:spacing w:line="240" w:lineRule="auto"/>
              <w:jc w:val="center"/>
              <w:rPr>
                <w:rFonts w:cs="Times New Roman"/>
                <w:sz w:val="24"/>
              </w:rPr>
            </w:pPr>
            <w:r>
              <w:rPr>
                <w:rFonts w:cs="Times New Roman"/>
                <w:sz w:val="24"/>
              </w:rPr>
              <w:t>约束性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Before w:val="1"/>
          <w:wBefore w:w="15" w:type="pct"/>
        </w:trPr>
        <w:tc>
          <w:tcPr>
            <w:tcW w:w="337" w:type="pct"/>
            <w:vAlign w:val="center"/>
          </w:tcPr>
          <w:p>
            <w:pPr>
              <w:spacing w:line="240" w:lineRule="auto"/>
              <w:jc w:val="center"/>
              <w:rPr>
                <w:rFonts w:cs="Times New Roman"/>
                <w:sz w:val="24"/>
              </w:rPr>
            </w:pPr>
            <w:r>
              <w:rPr>
                <w:rFonts w:cs="Times New Roman"/>
                <w:sz w:val="24"/>
              </w:rPr>
              <w:t>11</w:t>
            </w:r>
          </w:p>
        </w:tc>
        <w:tc>
          <w:tcPr>
            <w:tcW w:w="497" w:type="pct"/>
            <w:vMerge w:val="continue"/>
            <w:vAlign w:val="center"/>
          </w:tcPr>
          <w:p>
            <w:pPr>
              <w:spacing w:line="240" w:lineRule="auto"/>
              <w:jc w:val="center"/>
              <w:rPr>
                <w:rFonts w:cs="Times New Roman"/>
                <w:sz w:val="24"/>
              </w:rPr>
            </w:pPr>
          </w:p>
        </w:tc>
        <w:tc>
          <w:tcPr>
            <w:tcW w:w="506" w:type="pct"/>
            <w:vMerge w:val="continue"/>
            <w:vAlign w:val="center"/>
          </w:tcPr>
          <w:p>
            <w:pPr>
              <w:spacing w:line="240" w:lineRule="auto"/>
              <w:jc w:val="center"/>
              <w:rPr>
                <w:rFonts w:cs="Times New Roman"/>
                <w:sz w:val="24"/>
              </w:rPr>
            </w:pPr>
          </w:p>
        </w:tc>
        <w:tc>
          <w:tcPr>
            <w:tcW w:w="1270" w:type="pct"/>
            <w:vAlign w:val="center"/>
          </w:tcPr>
          <w:p>
            <w:pPr>
              <w:spacing w:line="240" w:lineRule="auto"/>
              <w:jc w:val="center"/>
              <w:rPr>
                <w:rFonts w:cs="Times New Roman"/>
                <w:sz w:val="24"/>
              </w:rPr>
            </w:pPr>
            <w:r>
              <w:rPr>
                <w:rFonts w:cs="Times New Roman"/>
                <w:sz w:val="24"/>
              </w:rPr>
              <w:t>挥发性有机污染物排放量减少比例（%）</w:t>
            </w:r>
          </w:p>
        </w:tc>
        <w:tc>
          <w:tcPr>
            <w:tcW w:w="843" w:type="pct"/>
            <w:vAlign w:val="center"/>
          </w:tcPr>
          <w:p>
            <w:pPr>
              <w:spacing w:line="240" w:lineRule="auto"/>
              <w:jc w:val="center"/>
              <w:rPr>
                <w:rFonts w:cs="Times New Roman"/>
                <w:sz w:val="24"/>
              </w:rPr>
            </w:pPr>
            <w:r>
              <w:rPr>
                <w:rFonts w:cs="Times New Roman"/>
                <w:sz w:val="24"/>
              </w:rPr>
              <w:t>--</w:t>
            </w:r>
          </w:p>
        </w:tc>
        <w:tc>
          <w:tcPr>
            <w:tcW w:w="928" w:type="pct"/>
            <w:vAlign w:val="center"/>
          </w:tcPr>
          <w:p>
            <w:pPr>
              <w:spacing w:line="240" w:lineRule="auto"/>
              <w:jc w:val="center"/>
              <w:rPr>
                <w:rFonts w:cs="Times New Roman"/>
                <w:sz w:val="24"/>
              </w:rPr>
            </w:pPr>
            <w:r>
              <w:rPr>
                <w:rFonts w:cs="Times New Roman"/>
                <w:sz w:val="24"/>
              </w:rPr>
              <w:t>达到呼伦贝尔市考核目标</w:t>
            </w:r>
          </w:p>
        </w:tc>
        <w:tc>
          <w:tcPr>
            <w:tcW w:w="605" w:type="pct"/>
            <w:gridSpan w:val="2"/>
            <w:vAlign w:val="center"/>
          </w:tcPr>
          <w:p>
            <w:pPr>
              <w:spacing w:line="240" w:lineRule="auto"/>
              <w:jc w:val="center"/>
              <w:rPr>
                <w:rFonts w:cs="Times New Roman"/>
                <w:sz w:val="24"/>
              </w:rPr>
            </w:pPr>
            <w:r>
              <w:rPr>
                <w:rFonts w:cs="Times New Roman"/>
                <w:sz w:val="24"/>
              </w:rPr>
              <w:t>约束性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Before w:val="1"/>
          <w:wBefore w:w="15" w:type="pct"/>
        </w:trPr>
        <w:tc>
          <w:tcPr>
            <w:tcW w:w="337" w:type="pct"/>
            <w:vAlign w:val="center"/>
          </w:tcPr>
          <w:p>
            <w:pPr>
              <w:spacing w:line="240" w:lineRule="auto"/>
              <w:jc w:val="center"/>
              <w:rPr>
                <w:rFonts w:cs="Times New Roman"/>
                <w:sz w:val="24"/>
              </w:rPr>
            </w:pPr>
            <w:r>
              <w:rPr>
                <w:rFonts w:cs="Times New Roman"/>
                <w:sz w:val="24"/>
              </w:rPr>
              <w:t>12</w:t>
            </w:r>
          </w:p>
        </w:tc>
        <w:tc>
          <w:tcPr>
            <w:tcW w:w="497" w:type="pct"/>
            <w:vMerge w:val="continue"/>
            <w:vAlign w:val="center"/>
          </w:tcPr>
          <w:p>
            <w:pPr>
              <w:spacing w:line="240" w:lineRule="auto"/>
              <w:jc w:val="center"/>
              <w:rPr>
                <w:rFonts w:cs="Times New Roman"/>
                <w:sz w:val="24"/>
              </w:rPr>
            </w:pPr>
          </w:p>
        </w:tc>
        <w:tc>
          <w:tcPr>
            <w:tcW w:w="506" w:type="pct"/>
            <w:vMerge w:val="continue"/>
            <w:vAlign w:val="center"/>
          </w:tcPr>
          <w:p>
            <w:pPr>
              <w:spacing w:line="240" w:lineRule="auto"/>
              <w:jc w:val="center"/>
              <w:rPr>
                <w:rFonts w:cs="Times New Roman"/>
                <w:sz w:val="24"/>
              </w:rPr>
            </w:pPr>
          </w:p>
        </w:tc>
        <w:tc>
          <w:tcPr>
            <w:tcW w:w="1270" w:type="pct"/>
            <w:vAlign w:val="center"/>
          </w:tcPr>
          <w:p>
            <w:pPr>
              <w:spacing w:line="240" w:lineRule="auto"/>
              <w:jc w:val="center"/>
              <w:rPr>
                <w:rFonts w:cs="Times New Roman"/>
                <w:sz w:val="24"/>
              </w:rPr>
            </w:pPr>
            <w:r>
              <w:rPr>
                <w:rFonts w:cs="Times New Roman"/>
                <w:sz w:val="24"/>
              </w:rPr>
              <w:t>化学需氧量排放量减少比例（%）</w:t>
            </w:r>
          </w:p>
        </w:tc>
        <w:tc>
          <w:tcPr>
            <w:tcW w:w="843" w:type="pct"/>
            <w:vAlign w:val="center"/>
          </w:tcPr>
          <w:p>
            <w:pPr>
              <w:spacing w:line="240" w:lineRule="auto"/>
              <w:jc w:val="center"/>
              <w:rPr>
                <w:rFonts w:cs="Times New Roman"/>
                <w:sz w:val="24"/>
              </w:rPr>
            </w:pPr>
            <w:r>
              <w:rPr>
                <w:rFonts w:cs="Times New Roman"/>
                <w:sz w:val="24"/>
              </w:rPr>
              <w:t>--</w:t>
            </w:r>
          </w:p>
        </w:tc>
        <w:tc>
          <w:tcPr>
            <w:tcW w:w="928" w:type="pct"/>
            <w:vAlign w:val="center"/>
          </w:tcPr>
          <w:p>
            <w:pPr>
              <w:spacing w:line="240" w:lineRule="auto"/>
              <w:jc w:val="center"/>
              <w:rPr>
                <w:rFonts w:cs="Times New Roman"/>
                <w:sz w:val="24"/>
              </w:rPr>
            </w:pPr>
            <w:r>
              <w:rPr>
                <w:rFonts w:cs="Times New Roman"/>
                <w:sz w:val="24"/>
              </w:rPr>
              <w:t>达到呼伦贝尔市考核目标</w:t>
            </w:r>
          </w:p>
        </w:tc>
        <w:tc>
          <w:tcPr>
            <w:tcW w:w="605" w:type="pct"/>
            <w:gridSpan w:val="2"/>
            <w:vAlign w:val="center"/>
          </w:tcPr>
          <w:p>
            <w:pPr>
              <w:spacing w:line="240" w:lineRule="auto"/>
              <w:jc w:val="center"/>
              <w:rPr>
                <w:rFonts w:cs="Times New Roman"/>
                <w:sz w:val="24"/>
              </w:rPr>
            </w:pPr>
            <w:r>
              <w:rPr>
                <w:rFonts w:cs="Times New Roman"/>
                <w:sz w:val="24"/>
              </w:rPr>
              <w:t>约束性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Before w:val="1"/>
          <w:wBefore w:w="15" w:type="pct"/>
        </w:trPr>
        <w:tc>
          <w:tcPr>
            <w:tcW w:w="337" w:type="pct"/>
            <w:vAlign w:val="center"/>
          </w:tcPr>
          <w:p>
            <w:pPr>
              <w:spacing w:line="240" w:lineRule="auto"/>
              <w:jc w:val="center"/>
              <w:rPr>
                <w:rFonts w:cs="Times New Roman"/>
                <w:sz w:val="24"/>
              </w:rPr>
            </w:pPr>
            <w:r>
              <w:rPr>
                <w:rFonts w:cs="Times New Roman"/>
                <w:sz w:val="24"/>
              </w:rPr>
              <w:t>13</w:t>
            </w:r>
          </w:p>
        </w:tc>
        <w:tc>
          <w:tcPr>
            <w:tcW w:w="497" w:type="pct"/>
            <w:vMerge w:val="continue"/>
            <w:vAlign w:val="center"/>
          </w:tcPr>
          <w:p>
            <w:pPr>
              <w:spacing w:line="240" w:lineRule="auto"/>
              <w:jc w:val="center"/>
              <w:rPr>
                <w:rFonts w:cs="Times New Roman"/>
                <w:sz w:val="24"/>
              </w:rPr>
            </w:pPr>
          </w:p>
        </w:tc>
        <w:tc>
          <w:tcPr>
            <w:tcW w:w="506" w:type="pct"/>
            <w:vMerge w:val="continue"/>
            <w:vAlign w:val="center"/>
          </w:tcPr>
          <w:p>
            <w:pPr>
              <w:spacing w:line="240" w:lineRule="auto"/>
              <w:jc w:val="center"/>
              <w:rPr>
                <w:rFonts w:cs="Times New Roman"/>
                <w:sz w:val="24"/>
              </w:rPr>
            </w:pPr>
          </w:p>
        </w:tc>
        <w:tc>
          <w:tcPr>
            <w:tcW w:w="1270" w:type="pct"/>
            <w:vAlign w:val="center"/>
          </w:tcPr>
          <w:p>
            <w:pPr>
              <w:spacing w:line="240" w:lineRule="auto"/>
              <w:jc w:val="center"/>
              <w:rPr>
                <w:rFonts w:cs="Times New Roman"/>
                <w:sz w:val="24"/>
              </w:rPr>
            </w:pPr>
            <w:r>
              <w:rPr>
                <w:rFonts w:cs="Times New Roman"/>
                <w:sz w:val="24"/>
              </w:rPr>
              <w:t>氨氮排放量减少比例（%）</w:t>
            </w:r>
          </w:p>
        </w:tc>
        <w:tc>
          <w:tcPr>
            <w:tcW w:w="843" w:type="pct"/>
            <w:vAlign w:val="center"/>
          </w:tcPr>
          <w:p>
            <w:pPr>
              <w:spacing w:line="240" w:lineRule="auto"/>
              <w:jc w:val="center"/>
              <w:rPr>
                <w:rFonts w:cs="Times New Roman"/>
                <w:sz w:val="24"/>
              </w:rPr>
            </w:pPr>
            <w:r>
              <w:rPr>
                <w:rFonts w:cs="Times New Roman"/>
                <w:sz w:val="24"/>
              </w:rPr>
              <w:t>--</w:t>
            </w:r>
          </w:p>
        </w:tc>
        <w:tc>
          <w:tcPr>
            <w:tcW w:w="928" w:type="pct"/>
            <w:vAlign w:val="center"/>
          </w:tcPr>
          <w:p>
            <w:pPr>
              <w:spacing w:line="240" w:lineRule="auto"/>
              <w:jc w:val="center"/>
              <w:rPr>
                <w:rFonts w:cs="Times New Roman"/>
                <w:sz w:val="24"/>
              </w:rPr>
            </w:pPr>
            <w:r>
              <w:rPr>
                <w:rFonts w:cs="Times New Roman"/>
                <w:sz w:val="24"/>
              </w:rPr>
              <w:t>达到呼伦贝尔市考核目标</w:t>
            </w:r>
          </w:p>
        </w:tc>
        <w:tc>
          <w:tcPr>
            <w:tcW w:w="605" w:type="pct"/>
            <w:gridSpan w:val="2"/>
            <w:vAlign w:val="center"/>
          </w:tcPr>
          <w:p>
            <w:pPr>
              <w:spacing w:line="240" w:lineRule="auto"/>
              <w:jc w:val="center"/>
              <w:rPr>
                <w:rFonts w:cs="Times New Roman"/>
                <w:sz w:val="24"/>
              </w:rPr>
            </w:pPr>
            <w:r>
              <w:rPr>
                <w:rFonts w:cs="Times New Roman"/>
                <w:sz w:val="24"/>
              </w:rPr>
              <w:t>约束性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c>
          <w:tcPr>
            <w:tcW w:w="352" w:type="pct"/>
            <w:gridSpan w:val="2"/>
            <w:vAlign w:val="center"/>
          </w:tcPr>
          <w:p>
            <w:pPr>
              <w:spacing w:line="240" w:lineRule="auto"/>
              <w:jc w:val="center"/>
              <w:rPr>
                <w:rFonts w:cs="Times New Roman"/>
                <w:sz w:val="24"/>
              </w:rPr>
            </w:pPr>
            <w:r>
              <w:rPr>
                <w:rFonts w:cs="Times New Roman"/>
                <w:sz w:val="24"/>
              </w:rPr>
              <w:t>14</w:t>
            </w:r>
          </w:p>
        </w:tc>
        <w:tc>
          <w:tcPr>
            <w:tcW w:w="497" w:type="pct"/>
            <w:vMerge w:val="restart"/>
            <w:vAlign w:val="center"/>
          </w:tcPr>
          <w:p>
            <w:pPr>
              <w:spacing w:line="240" w:lineRule="auto"/>
              <w:jc w:val="center"/>
              <w:rPr>
                <w:rFonts w:cs="Times New Roman"/>
                <w:sz w:val="24"/>
              </w:rPr>
            </w:pPr>
            <w:r>
              <w:rPr>
                <w:rFonts w:cs="Times New Roman"/>
                <w:sz w:val="24"/>
              </w:rPr>
              <w:t>生态系统质量</w:t>
            </w:r>
          </w:p>
        </w:tc>
        <w:tc>
          <w:tcPr>
            <w:tcW w:w="1776" w:type="pct"/>
            <w:gridSpan w:val="2"/>
            <w:vAlign w:val="center"/>
          </w:tcPr>
          <w:p>
            <w:pPr>
              <w:spacing w:line="240" w:lineRule="auto"/>
              <w:jc w:val="center"/>
              <w:rPr>
                <w:rFonts w:cs="Times New Roman"/>
                <w:sz w:val="24"/>
              </w:rPr>
            </w:pPr>
            <w:r>
              <w:rPr>
                <w:rFonts w:cs="Times New Roman"/>
                <w:sz w:val="24"/>
              </w:rPr>
              <w:t>生态保护红线占国土空间面积的比例（%）</w:t>
            </w:r>
          </w:p>
        </w:tc>
        <w:tc>
          <w:tcPr>
            <w:tcW w:w="843" w:type="pct"/>
            <w:vAlign w:val="center"/>
          </w:tcPr>
          <w:p>
            <w:pPr>
              <w:spacing w:line="240" w:lineRule="auto"/>
              <w:jc w:val="center"/>
              <w:rPr>
                <w:rFonts w:cs="Times New Roman"/>
                <w:sz w:val="24"/>
              </w:rPr>
            </w:pPr>
            <w:r>
              <w:rPr>
                <w:rFonts w:hint="eastAsia" w:cs="Times New Roman"/>
                <w:sz w:val="24"/>
              </w:rPr>
              <w:t>1</w:t>
            </w:r>
            <w:r>
              <w:rPr>
                <w:rFonts w:cs="Times New Roman"/>
                <w:sz w:val="24"/>
              </w:rPr>
              <w:t>5.36</w:t>
            </w:r>
          </w:p>
        </w:tc>
        <w:tc>
          <w:tcPr>
            <w:tcW w:w="928" w:type="pct"/>
            <w:vAlign w:val="center"/>
          </w:tcPr>
          <w:p>
            <w:pPr>
              <w:spacing w:line="240" w:lineRule="auto"/>
              <w:jc w:val="center"/>
              <w:rPr>
                <w:rFonts w:cs="Times New Roman"/>
                <w:sz w:val="24"/>
              </w:rPr>
            </w:pPr>
            <w:r>
              <w:rPr>
                <w:rFonts w:cs="Times New Roman"/>
                <w:sz w:val="24"/>
              </w:rPr>
              <w:t>不降低</w:t>
            </w:r>
          </w:p>
        </w:tc>
        <w:tc>
          <w:tcPr>
            <w:tcW w:w="605" w:type="pct"/>
            <w:gridSpan w:val="2"/>
            <w:vAlign w:val="center"/>
          </w:tcPr>
          <w:p>
            <w:pPr>
              <w:spacing w:line="240" w:lineRule="auto"/>
              <w:jc w:val="center"/>
              <w:rPr>
                <w:rFonts w:cs="Times New Roman"/>
                <w:sz w:val="24"/>
              </w:rPr>
            </w:pPr>
            <w:r>
              <w:rPr>
                <w:rFonts w:cs="Times New Roman"/>
                <w:sz w:val="24"/>
              </w:rPr>
              <w:t>预期性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52" w:type="pct"/>
            <w:gridSpan w:val="2"/>
            <w:vAlign w:val="center"/>
          </w:tcPr>
          <w:p>
            <w:pPr>
              <w:spacing w:line="240" w:lineRule="auto"/>
              <w:jc w:val="center"/>
              <w:rPr>
                <w:rFonts w:cs="Times New Roman"/>
                <w:sz w:val="24"/>
              </w:rPr>
            </w:pPr>
            <w:r>
              <w:rPr>
                <w:rFonts w:cs="Times New Roman"/>
                <w:sz w:val="24"/>
              </w:rPr>
              <w:t>15</w:t>
            </w:r>
          </w:p>
        </w:tc>
        <w:tc>
          <w:tcPr>
            <w:tcW w:w="497" w:type="pct"/>
            <w:vMerge w:val="continue"/>
            <w:vAlign w:val="center"/>
          </w:tcPr>
          <w:p>
            <w:pPr>
              <w:spacing w:line="240" w:lineRule="auto"/>
              <w:jc w:val="center"/>
              <w:rPr>
                <w:rFonts w:cs="Times New Roman"/>
                <w:sz w:val="24"/>
              </w:rPr>
            </w:pPr>
          </w:p>
        </w:tc>
        <w:tc>
          <w:tcPr>
            <w:tcW w:w="1776" w:type="pct"/>
            <w:gridSpan w:val="2"/>
            <w:vAlign w:val="center"/>
          </w:tcPr>
          <w:p>
            <w:pPr>
              <w:spacing w:line="240" w:lineRule="auto"/>
              <w:jc w:val="center"/>
              <w:rPr>
                <w:rFonts w:cs="Times New Roman"/>
                <w:sz w:val="24"/>
              </w:rPr>
            </w:pPr>
            <w:r>
              <w:rPr>
                <w:rFonts w:cs="Times New Roman"/>
                <w:sz w:val="24"/>
              </w:rPr>
              <w:t>生态质量指数（新EI）</w:t>
            </w:r>
          </w:p>
        </w:tc>
        <w:tc>
          <w:tcPr>
            <w:tcW w:w="843" w:type="pct"/>
            <w:vAlign w:val="center"/>
          </w:tcPr>
          <w:p>
            <w:pPr>
              <w:spacing w:line="240" w:lineRule="auto"/>
              <w:jc w:val="center"/>
              <w:rPr>
                <w:rFonts w:cs="Times New Roman"/>
                <w:sz w:val="24"/>
              </w:rPr>
            </w:pPr>
            <w:r>
              <w:rPr>
                <w:rFonts w:cs="Times New Roman"/>
                <w:spacing w:val="-2"/>
                <w:sz w:val="24"/>
              </w:rPr>
              <w:t>68.64</w:t>
            </w:r>
          </w:p>
        </w:tc>
        <w:tc>
          <w:tcPr>
            <w:tcW w:w="928" w:type="pct"/>
            <w:vAlign w:val="center"/>
          </w:tcPr>
          <w:p>
            <w:pPr>
              <w:spacing w:line="240" w:lineRule="auto"/>
              <w:jc w:val="center"/>
              <w:rPr>
                <w:rFonts w:cs="Times New Roman"/>
                <w:sz w:val="24"/>
              </w:rPr>
            </w:pPr>
            <w:r>
              <w:rPr>
                <w:rFonts w:cs="Times New Roman"/>
                <w:sz w:val="24"/>
              </w:rPr>
              <w:t>保持稳定</w:t>
            </w:r>
          </w:p>
        </w:tc>
        <w:tc>
          <w:tcPr>
            <w:tcW w:w="605" w:type="pct"/>
            <w:gridSpan w:val="2"/>
            <w:vAlign w:val="center"/>
          </w:tcPr>
          <w:p>
            <w:pPr>
              <w:spacing w:line="240" w:lineRule="auto"/>
              <w:jc w:val="center"/>
              <w:rPr>
                <w:rFonts w:cs="Times New Roman"/>
                <w:sz w:val="24"/>
              </w:rPr>
            </w:pPr>
            <w:r>
              <w:rPr>
                <w:rFonts w:cs="Times New Roman"/>
                <w:sz w:val="24"/>
              </w:rPr>
              <w:t>预期性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52" w:type="pct"/>
            <w:gridSpan w:val="2"/>
            <w:vAlign w:val="center"/>
          </w:tcPr>
          <w:p>
            <w:pPr>
              <w:spacing w:line="240" w:lineRule="auto"/>
              <w:jc w:val="center"/>
              <w:rPr>
                <w:rFonts w:cs="Times New Roman"/>
                <w:sz w:val="24"/>
              </w:rPr>
            </w:pPr>
            <w:r>
              <w:rPr>
                <w:rFonts w:cs="Times New Roman"/>
                <w:sz w:val="24"/>
              </w:rPr>
              <w:t>16</w:t>
            </w:r>
          </w:p>
        </w:tc>
        <w:tc>
          <w:tcPr>
            <w:tcW w:w="497" w:type="pct"/>
            <w:vMerge w:val="continue"/>
            <w:vAlign w:val="center"/>
          </w:tcPr>
          <w:p>
            <w:pPr>
              <w:spacing w:line="240" w:lineRule="auto"/>
              <w:jc w:val="center"/>
              <w:rPr>
                <w:rFonts w:cs="Times New Roman"/>
                <w:sz w:val="24"/>
              </w:rPr>
            </w:pPr>
          </w:p>
        </w:tc>
        <w:tc>
          <w:tcPr>
            <w:tcW w:w="1776" w:type="pct"/>
            <w:gridSpan w:val="2"/>
            <w:vAlign w:val="center"/>
          </w:tcPr>
          <w:p>
            <w:pPr>
              <w:spacing w:line="240" w:lineRule="auto"/>
              <w:jc w:val="center"/>
              <w:rPr>
                <w:rFonts w:cs="Times New Roman"/>
                <w:sz w:val="24"/>
              </w:rPr>
            </w:pPr>
            <w:r>
              <w:rPr>
                <w:rFonts w:cs="Times New Roman"/>
                <w:sz w:val="24"/>
              </w:rPr>
              <w:t>森林覆盖率（%）</w:t>
            </w:r>
          </w:p>
        </w:tc>
        <w:tc>
          <w:tcPr>
            <w:tcW w:w="843" w:type="pct"/>
            <w:vAlign w:val="center"/>
          </w:tcPr>
          <w:p>
            <w:pPr>
              <w:spacing w:line="240" w:lineRule="auto"/>
              <w:jc w:val="center"/>
              <w:rPr>
                <w:rFonts w:cs="Times New Roman"/>
                <w:sz w:val="24"/>
              </w:rPr>
            </w:pPr>
            <w:r>
              <w:rPr>
                <w:rFonts w:cs="Times New Roman"/>
                <w:spacing w:val="-4"/>
                <w:sz w:val="24"/>
              </w:rPr>
              <w:t>4.2</w:t>
            </w:r>
          </w:p>
        </w:tc>
        <w:tc>
          <w:tcPr>
            <w:tcW w:w="928" w:type="pct"/>
            <w:vAlign w:val="center"/>
          </w:tcPr>
          <w:p>
            <w:pPr>
              <w:spacing w:line="240" w:lineRule="auto"/>
              <w:jc w:val="center"/>
              <w:rPr>
                <w:rFonts w:cs="Times New Roman"/>
                <w:sz w:val="24"/>
              </w:rPr>
            </w:pPr>
            <w:r>
              <w:rPr>
                <w:rFonts w:hint="eastAsia" w:cs="Times New Roman"/>
                <w:sz w:val="24"/>
              </w:rPr>
              <w:t>达到呼伦贝尔市考核目标</w:t>
            </w:r>
          </w:p>
        </w:tc>
        <w:tc>
          <w:tcPr>
            <w:tcW w:w="605" w:type="pct"/>
            <w:gridSpan w:val="2"/>
            <w:vAlign w:val="center"/>
          </w:tcPr>
          <w:p>
            <w:pPr>
              <w:spacing w:line="240" w:lineRule="auto"/>
              <w:jc w:val="center"/>
              <w:rPr>
                <w:rFonts w:cs="Times New Roman"/>
                <w:sz w:val="24"/>
              </w:rPr>
            </w:pPr>
            <w:r>
              <w:rPr>
                <w:rFonts w:cs="Times New Roman"/>
                <w:sz w:val="24"/>
              </w:rPr>
              <w:t>约束性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52" w:type="pct"/>
            <w:gridSpan w:val="2"/>
            <w:vAlign w:val="center"/>
          </w:tcPr>
          <w:p>
            <w:pPr>
              <w:spacing w:line="240" w:lineRule="auto"/>
              <w:jc w:val="center"/>
              <w:rPr>
                <w:rFonts w:cs="Times New Roman"/>
                <w:sz w:val="24"/>
              </w:rPr>
            </w:pPr>
            <w:r>
              <w:rPr>
                <w:rFonts w:cs="Times New Roman"/>
                <w:sz w:val="24"/>
              </w:rPr>
              <w:t>17</w:t>
            </w:r>
          </w:p>
        </w:tc>
        <w:tc>
          <w:tcPr>
            <w:tcW w:w="497" w:type="pct"/>
            <w:vMerge w:val="continue"/>
            <w:vAlign w:val="center"/>
          </w:tcPr>
          <w:p>
            <w:pPr>
              <w:spacing w:line="240" w:lineRule="auto"/>
              <w:jc w:val="center"/>
              <w:rPr>
                <w:rFonts w:cs="Times New Roman"/>
                <w:sz w:val="24"/>
              </w:rPr>
            </w:pPr>
          </w:p>
        </w:tc>
        <w:tc>
          <w:tcPr>
            <w:tcW w:w="1776" w:type="pct"/>
            <w:gridSpan w:val="2"/>
            <w:vAlign w:val="center"/>
          </w:tcPr>
          <w:p>
            <w:pPr>
              <w:spacing w:line="240" w:lineRule="auto"/>
              <w:jc w:val="center"/>
              <w:rPr>
                <w:rFonts w:cs="Times New Roman"/>
                <w:sz w:val="24"/>
              </w:rPr>
            </w:pPr>
            <w:r>
              <w:rPr>
                <w:rFonts w:cs="Times New Roman"/>
                <w:sz w:val="24"/>
              </w:rPr>
              <w:t>森林蓄积量（</w:t>
            </w:r>
            <w:r>
              <w:rPr>
                <w:rFonts w:hint="eastAsia" w:cs="Times New Roman"/>
                <w:sz w:val="24"/>
              </w:rPr>
              <w:t>万</w:t>
            </w:r>
            <w:r>
              <w:rPr>
                <w:rFonts w:cs="Times New Roman"/>
                <w:sz w:val="24"/>
              </w:rPr>
              <w:t>立方米）</w:t>
            </w:r>
          </w:p>
        </w:tc>
        <w:tc>
          <w:tcPr>
            <w:tcW w:w="843" w:type="pct"/>
            <w:vAlign w:val="center"/>
          </w:tcPr>
          <w:p>
            <w:pPr>
              <w:spacing w:line="240" w:lineRule="auto"/>
              <w:jc w:val="center"/>
              <w:rPr>
                <w:rFonts w:cs="Times New Roman"/>
                <w:sz w:val="24"/>
              </w:rPr>
            </w:pPr>
            <w:r>
              <w:rPr>
                <w:rFonts w:cs="Times New Roman"/>
                <w:spacing w:val="-6"/>
                <w:sz w:val="24"/>
              </w:rPr>
              <w:t>0.44</w:t>
            </w:r>
          </w:p>
        </w:tc>
        <w:tc>
          <w:tcPr>
            <w:tcW w:w="928" w:type="pct"/>
            <w:vAlign w:val="center"/>
          </w:tcPr>
          <w:p>
            <w:pPr>
              <w:spacing w:line="240" w:lineRule="auto"/>
              <w:jc w:val="center"/>
              <w:rPr>
                <w:rFonts w:cs="Times New Roman"/>
                <w:sz w:val="24"/>
              </w:rPr>
            </w:pPr>
            <w:r>
              <w:rPr>
                <w:rFonts w:hint="eastAsia" w:cs="Times New Roman"/>
                <w:sz w:val="24"/>
              </w:rPr>
              <w:t>达到呼伦贝尔市考核目标</w:t>
            </w:r>
          </w:p>
        </w:tc>
        <w:tc>
          <w:tcPr>
            <w:tcW w:w="605" w:type="pct"/>
            <w:gridSpan w:val="2"/>
            <w:vAlign w:val="center"/>
          </w:tcPr>
          <w:p>
            <w:pPr>
              <w:spacing w:line="240" w:lineRule="auto"/>
              <w:jc w:val="center"/>
              <w:rPr>
                <w:rFonts w:cs="Times New Roman"/>
                <w:sz w:val="24"/>
              </w:rPr>
            </w:pPr>
            <w:r>
              <w:rPr>
                <w:rFonts w:cs="Times New Roman"/>
                <w:sz w:val="24"/>
              </w:rPr>
              <w:t>预期性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c>
          <w:tcPr>
            <w:tcW w:w="352" w:type="pct"/>
            <w:gridSpan w:val="2"/>
            <w:vAlign w:val="center"/>
          </w:tcPr>
          <w:p>
            <w:pPr>
              <w:spacing w:line="240" w:lineRule="auto"/>
              <w:jc w:val="center"/>
              <w:rPr>
                <w:rFonts w:cs="Times New Roman"/>
                <w:sz w:val="24"/>
              </w:rPr>
            </w:pPr>
            <w:r>
              <w:rPr>
                <w:rFonts w:cs="Times New Roman"/>
                <w:sz w:val="24"/>
              </w:rPr>
              <w:t>18</w:t>
            </w:r>
          </w:p>
        </w:tc>
        <w:tc>
          <w:tcPr>
            <w:tcW w:w="497" w:type="pct"/>
            <w:vMerge w:val="continue"/>
            <w:vAlign w:val="center"/>
          </w:tcPr>
          <w:p>
            <w:pPr>
              <w:spacing w:line="240" w:lineRule="auto"/>
              <w:jc w:val="center"/>
              <w:rPr>
                <w:rFonts w:cs="Times New Roman"/>
                <w:sz w:val="24"/>
              </w:rPr>
            </w:pPr>
          </w:p>
        </w:tc>
        <w:tc>
          <w:tcPr>
            <w:tcW w:w="1776" w:type="pct"/>
            <w:gridSpan w:val="2"/>
            <w:vAlign w:val="center"/>
          </w:tcPr>
          <w:p>
            <w:pPr>
              <w:spacing w:line="240" w:lineRule="auto"/>
              <w:jc w:val="center"/>
              <w:rPr>
                <w:rFonts w:cs="Times New Roman"/>
                <w:sz w:val="24"/>
              </w:rPr>
            </w:pPr>
            <w:r>
              <w:rPr>
                <w:rFonts w:cs="Times New Roman"/>
                <w:sz w:val="24"/>
              </w:rPr>
              <w:t>草原植被综合盖度（%）</w:t>
            </w:r>
          </w:p>
        </w:tc>
        <w:tc>
          <w:tcPr>
            <w:tcW w:w="843" w:type="pct"/>
            <w:vAlign w:val="center"/>
          </w:tcPr>
          <w:p>
            <w:pPr>
              <w:spacing w:line="240" w:lineRule="auto"/>
              <w:jc w:val="center"/>
              <w:rPr>
                <w:rFonts w:cs="Times New Roman"/>
                <w:sz w:val="24"/>
              </w:rPr>
            </w:pPr>
            <w:r>
              <w:rPr>
                <w:rFonts w:cs="Times New Roman"/>
                <w:spacing w:val="-3"/>
                <w:sz w:val="24"/>
              </w:rPr>
              <w:t>53</w:t>
            </w:r>
          </w:p>
        </w:tc>
        <w:tc>
          <w:tcPr>
            <w:tcW w:w="928" w:type="pct"/>
            <w:vAlign w:val="center"/>
          </w:tcPr>
          <w:p>
            <w:pPr>
              <w:spacing w:line="240" w:lineRule="auto"/>
              <w:jc w:val="center"/>
              <w:rPr>
                <w:rFonts w:cs="Times New Roman"/>
                <w:sz w:val="24"/>
              </w:rPr>
            </w:pPr>
            <w:r>
              <w:rPr>
                <w:rFonts w:cs="Times New Roman"/>
                <w:spacing w:val="-9"/>
                <w:sz w:val="24"/>
              </w:rPr>
              <w:t>23.5</w:t>
            </w:r>
          </w:p>
        </w:tc>
        <w:tc>
          <w:tcPr>
            <w:tcW w:w="605" w:type="pct"/>
            <w:gridSpan w:val="2"/>
            <w:vAlign w:val="center"/>
          </w:tcPr>
          <w:p>
            <w:pPr>
              <w:spacing w:line="240" w:lineRule="auto"/>
              <w:jc w:val="center"/>
              <w:rPr>
                <w:rFonts w:cs="Times New Roman"/>
                <w:sz w:val="24"/>
              </w:rPr>
            </w:pPr>
            <w:r>
              <w:rPr>
                <w:rFonts w:cs="Times New Roman"/>
                <w:sz w:val="24"/>
              </w:rPr>
              <w:t>约束性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52" w:type="pct"/>
            <w:gridSpan w:val="2"/>
            <w:vAlign w:val="center"/>
          </w:tcPr>
          <w:p>
            <w:pPr>
              <w:spacing w:line="240" w:lineRule="auto"/>
              <w:jc w:val="center"/>
              <w:rPr>
                <w:rFonts w:cs="Times New Roman"/>
                <w:sz w:val="24"/>
              </w:rPr>
            </w:pPr>
            <w:r>
              <w:rPr>
                <w:rFonts w:cs="Times New Roman"/>
                <w:sz w:val="24"/>
              </w:rPr>
              <w:t>19</w:t>
            </w:r>
          </w:p>
        </w:tc>
        <w:tc>
          <w:tcPr>
            <w:tcW w:w="497" w:type="pct"/>
            <w:vMerge w:val="restart"/>
            <w:vAlign w:val="center"/>
          </w:tcPr>
          <w:p>
            <w:pPr>
              <w:spacing w:line="240" w:lineRule="auto"/>
              <w:jc w:val="center"/>
              <w:rPr>
                <w:rFonts w:cs="Times New Roman"/>
                <w:sz w:val="24"/>
              </w:rPr>
            </w:pPr>
            <w:r>
              <w:rPr>
                <w:rFonts w:cs="Times New Roman"/>
                <w:sz w:val="24"/>
              </w:rPr>
              <w:t>环境风险防范</w:t>
            </w:r>
          </w:p>
        </w:tc>
        <w:tc>
          <w:tcPr>
            <w:tcW w:w="506" w:type="pct"/>
            <w:vMerge w:val="restart"/>
            <w:vAlign w:val="center"/>
          </w:tcPr>
          <w:p>
            <w:pPr>
              <w:spacing w:line="240" w:lineRule="auto"/>
              <w:jc w:val="center"/>
              <w:rPr>
                <w:rFonts w:cs="Times New Roman"/>
                <w:sz w:val="24"/>
              </w:rPr>
            </w:pPr>
            <w:r>
              <w:rPr>
                <w:rFonts w:cs="Times New Roman"/>
                <w:sz w:val="24"/>
              </w:rPr>
              <w:t>土壤生态环境质量</w:t>
            </w:r>
          </w:p>
        </w:tc>
        <w:tc>
          <w:tcPr>
            <w:tcW w:w="1270" w:type="pct"/>
            <w:vAlign w:val="center"/>
          </w:tcPr>
          <w:p>
            <w:pPr>
              <w:spacing w:line="240" w:lineRule="auto"/>
              <w:jc w:val="center"/>
              <w:rPr>
                <w:rFonts w:cs="Times New Roman"/>
                <w:sz w:val="24"/>
              </w:rPr>
            </w:pPr>
            <w:r>
              <w:rPr>
                <w:rFonts w:cs="Times New Roman"/>
                <w:sz w:val="24"/>
              </w:rPr>
              <w:t>受污染耕地安全利用率（%）</w:t>
            </w:r>
          </w:p>
        </w:tc>
        <w:tc>
          <w:tcPr>
            <w:tcW w:w="843" w:type="pct"/>
            <w:vAlign w:val="center"/>
          </w:tcPr>
          <w:p>
            <w:pPr>
              <w:spacing w:line="240" w:lineRule="auto"/>
              <w:jc w:val="center"/>
              <w:rPr>
                <w:rFonts w:cs="Times New Roman"/>
                <w:sz w:val="24"/>
              </w:rPr>
            </w:pPr>
            <w:r>
              <w:rPr>
                <w:rFonts w:cs="Times New Roman"/>
                <w:sz w:val="24"/>
              </w:rPr>
              <w:t>--</w:t>
            </w:r>
          </w:p>
        </w:tc>
        <w:tc>
          <w:tcPr>
            <w:tcW w:w="928" w:type="pct"/>
            <w:vAlign w:val="center"/>
          </w:tcPr>
          <w:p>
            <w:pPr>
              <w:spacing w:line="240" w:lineRule="auto"/>
              <w:jc w:val="center"/>
              <w:rPr>
                <w:rFonts w:cs="Times New Roman"/>
                <w:sz w:val="24"/>
              </w:rPr>
            </w:pPr>
            <w:r>
              <w:rPr>
                <w:rFonts w:cs="Times New Roman"/>
                <w:spacing w:val="-9"/>
                <w:sz w:val="24"/>
              </w:rPr>
              <w:t>≥</w:t>
            </w:r>
            <w:r>
              <w:rPr>
                <w:rFonts w:cs="Times New Roman"/>
                <w:spacing w:val="-8"/>
                <w:sz w:val="24"/>
              </w:rPr>
              <w:t>98</w:t>
            </w:r>
          </w:p>
        </w:tc>
        <w:tc>
          <w:tcPr>
            <w:tcW w:w="605" w:type="pct"/>
            <w:gridSpan w:val="2"/>
            <w:vAlign w:val="center"/>
          </w:tcPr>
          <w:p>
            <w:pPr>
              <w:spacing w:line="240" w:lineRule="auto"/>
              <w:jc w:val="center"/>
              <w:rPr>
                <w:rFonts w:cs="Times New Roman"/>
                <w:sz w:val="24"/>
              </w:rPr>
            </w:pPr>
            <w:r>
              <w:rPr>
                <w:rFonts w:cs="Times New Roman"/>
                <w:sz w:val="24"/>
              </w:rPr>
              <w:t>预期性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52" w:type="pct"/>
            <w:gridSpan w:val="2"/>
            <w:vAlign w:val="center"/>
          </w:tcPr>
          <w:p>
            <w:pPr>
              <w:spacing w:line="240" w:lineRule="auto"/>
              <w:jc w:val="center"/>
              <w:rPr>
                <w:rFonts w:cs="Times New Roman"/>
                <w:sz w:val="24"/>
              </w:rPr>
            </w:pPr>
            <w:r>
              <w:rPr>
                <w:rFonts w:cs="Times New Roman"/>
                <w:sz w:val="24"/>
              </w:rPr>
              <w:t>20</w:t>
            </w:r>
          </w:p>
        </w:tc>
        <w:tc>
          <w:tcPr>
            <w:tcW w:w="497" w:type="pct"/>
            <w:vMerge w:val="continue"/>
            <w:vAlign w:val="center"/>
          </w:tcPr>
          <w:p>
            <w:pPr>
              <w:spacing w:line="240" w:lineRule="auto"/>
              <w:jc w:val="center"/>
              <w:rPr>
                <w:rFonts w:cs="Times New Roman"/>
                <w:sz w:val="24"/>
              </w:rPr>
            </w:pPr>
          </w:p>
        </w:tc>
        <w:tc>
          <w:tcPr>
            <w:tcW w:w="506" w:type="pct"/>
            <w:vMerge w:val="continue"/>
            <w:vAlign w:val="center"/>
          </w:tcPr>
          <w:p>
            <w:pPr>
              <w:spacing w:line="240" w:lineRule="auto"/>
              <w:jc w:val="center"/>
              <w:rPr>
                <w:rFonts w:cs="Times New Roman"/>
                <w:sz w:val="24"/>
              </w:rPr>
            </w:pPr>
          </w:p>
        </w:tc>
        <w:tc>
          <w:tcPr>
            <w:tcW w:w="1270" w:type="pct"/>
            <w:vAlign w:val="center"/>
          </w:tcPr>
          <w:p>
            <w:pPr>
              <w:spacing w:line="240" w:lineRule="auto"/>
              <w:jc w:val="center"/>
              <w:rPr>
                <w:rFonts w:cs="Times New Roman"/>
                <w:sz w:val="24"/>
              </w:rPr>
            </w:pPr>
            <w:r>
              <w:rPr>
                <w:rFonts w:cs="Times New Roman"/>
                <w:sz w:val="24"/>
              </w:rPr>
              <w:t>污染地块安全利用率（%）</w:t>
            </w:r>
          </w:p>
        </w:tc>
        <w:tc>
          <w:tcPr>
            <w:tcW w:w="843" w:type="pct"/>
            <w:vAlign w:val="center"/>
          </w:tcPr>
          <w:p>
            <w:pPr>
              <w:spacing w:line="240" w:lineRule="auto"/>
              <w:jc w:val="center"/>
              <w:rPr>
                <w:rFonts w:cs="Times New Roman"/>
                <w:sz w:val="24"/>
              </w:rPr>
            </w:pPr>
            <w:r>
              <w:rPr>
                <w:rFonts w:cs="Times New Roman"/>
                <w:sz w:val="24"/>
              </w:rPr>
              <w:t>--</w:t>
            </w:r>
          </w:p>
        </w:tc>
        <w:tc>
          <w:tcPr>
            <w:tcW w:w="928" w:type="pct"/>
            <w:vAlign w:val="center"/>
          </w:tcPr>
          <w:p>
            <w:pPr>
              <w:spacing w:line="240" w:lineRule="auto"/>
              <w:jc w:val="center"/>
              <w:rPr>
                <w:rFonts w:cs="Times New Roman"/>
                <w:sz w:val="24"/>
              </w:rPr>
            </w:pPr>
            <w:r>
              <w:rPr>
                <w:rFonts w:cs="Times New Roman"/>
                <w:spacing w:val="-9"/>
                <w:sz w:val="24"/>
              </w:rPr>
              <w:t>≥</w:t>
            </w:r>
            <w:r>
              <w:rPr>
                <w:rFonts w:cs="Times New Roman"/>
                <w:spacing w:val="-8"/>
                <w:sz w:val="24"/>
              </w:rPr>
              <w:t>92</w:t>
            </w:r>
          </w:p>
        </w:tc>
        <w:tc>
          <w:tcPr>
            <w:tcW w:w="605" w:type="pct"/>
            <w:gridSpan w:val="2"/>
            <w:vAlign w:val="center"/>
          </w:tcPr>
          <w:p>
            <w:pPr>
              <w:spacing w:line="240" w:lineRule="auto"/>
              <w:jc w:val="center"/>
              <w:rPr>
                <w:rFonts w:cs="Times New Roman"/>
                <w:sz w:val="24"/>
              </w:rPr>
            </w:pPr>
            <w:r>
              <w:rPr>
                <w:rFonts w:cs="Times New Roman"/>
                <w:sz w:val="24"/>
              </w:rPr>
              <w:t>预期性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After w:val="1"/>
          <w:wAfter w:w="8" w:type="pct"/>
        </w:trPr>
        <w:tc>
          <w:tcPr>
            <w:tcW w:w="352" w:type="pct"/>
            <w:gridSpan w:val="2"/>
            <w:vAlign w:val="center"/>
          </w:tcPr>
          <w:p>
            <w:pPr>
              <w:spacing w:line="240" w:lineRule="auto"/>
              <w:jc w:val="center"/>
              <w:rPr>
                <w:rFonts w:cs="Times New Roman"/>
                <w:sz w:val="24"/>
              </w:rPr>
            </w:pPr>
            <w:r>
              <w:rPr>
                <w:rFonts w:cs="Times New Roman"/>
                <w:sz w:val="24"/>
              </w:rPr>
              <w:t>21</w:t>
            </w:r>
          </w:p>
        </w:tc>
        <w:tc>
          <w:tcPr>
            <w:tcW w:w="497" w:type="pct"/>
            <w:vMerge w:val="continue"/>
            <w:vAlign w:val="center"/>
          </w:tcPr>
          <w:p>
            <w:pPr>
              <w:spacing w:line="240" w:lineRule="auto"/>
              <w:jc w:val="center"/>
              <w:rPr>
                <w:rFonts w:cs="Times New Roman"/>
                <w:sz w:val="24"/>
              </w:rPr>
            </w:pPr>
          </w:p>
        </w:tc>
        <w:tc>
          <w:tcPr>
            <w:tcW w:w="1776" w:type="pct"/>
            <w:gridSpan w:val="2"/>
            <w:vAlign w:val="center"/>
          </w:tcPr>
          <w:p>
            <w:pPr>
              <w:spacing w:line="240" w:lineRule="auto"/>
              <w:jc w:val="center"/>
              <w:rPr>
                <w:rFonts w:cs="Times New Roman"/>
                <w:sz w:val="24"/>
              </w:rPr>
            </w:pPr>
            <w:r>
              <w:rPr>
                <w:rFonts w:cs="Times New Roman"/>
                <w:sz w:val="24"/>
              </w:rPr>
              <w:t>地下水质量V类水体比例（%）</w:t>
            </w:r>
          </w:p>
        </w:tc>
        <w:tc>
          <w:tcPr>
            <w:tcW w:w="843" w:type="pct"/>
            <w:vAlign w:val="center"/>
          </w:tcPr>
          <w:p>
            <w:pPr>
              <w:spacing w:line="240" w:lineRule="auto"/>
              <w:jc w:val="center"/>
              <w:rPr>
                <w:rFonts w:cs="Times New Roman"/>
                <w:sz w:val="24"/>
              </w:rPr>
            </w:pPr>
            <w:r>
              <w:rPr>
                <w:rFonts w:cs="Times New Roman"/>
                <w:sz w:val="24"/>
              </w:rPr>
              <w:t>--</w:t>
            </w:r>
          </w:p>
        </w:tc>
        <w:tc>
          <w:tcPr>
            <w:tcW w:w="928" w:type="pct"/>
            <w:vAlign w:val="center"/>
          </w:tcPr>
          <w:p>
            <w:pPr>
              <w:spacing w:line="240" w:lineRule="auto"/>
              <w:jc w:val="center"/>
              <w:rPr>
                <w:rFonts w:cs="Times New Roman"/>
                <w:sz w:val="24"/>
              </w:rPr>
            </w:pPr>
            <w:r>
              <w:rPr>
                <w:rFonts w:cs="Times New Roman"/>
                <w:sz w:val="24"/>
              </w:rPr>
              <w:t>达到呼伦贝尔市考核目标</w:t>
            </w:r>
          </w:p>
        </w:tc>
        <w:tc>
          <w:tcPr>
            <w:tcW w:w="597" w:type="pct"/>
            <w:vAlign w:val="center"/>
          </w:tcPr>
          <w:p>
            <w:pPr>
              <w:spacing w:line="240" w:lineRule="auto"/>
              <w:jc w:val="center"/>
              <w:rPr>
                <w:rFonts w:cs="Times New Roman"/>
                <w:sz w:val="24"/>
              </w:rPr>
            </w:pPr>
            <w:r>
              <w:rPr>
                <w:rFonts w:cs="Times New Roman"/>
                <w:sz w:val="24"/>
              </w:rPr>
              <w:t>预期性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gridAfter w:val="1"/>
          <w:wAfter w:w="8" w:type="pct"/>
        </w:trPr>
        <w:tc>
          <w:tcPr>
            <w:tcW w:w="352" w:type="pct"/>
            <w:gridSpan w:val="2"/>
            <w:vAlign w:val="center"/>
          </w:tcPr>
          <w:p>
            <w:pPr>
              <w:spacing w:line="240" w:lineRule="auto"/>
              <w:jc w:val="center"/>
              <w:rPr>
                <w:rFonts w:cs="Times New Roman"/>
                <w:sz w:val="24"/>
              </w:rPr>
            </w:pPr>
            <w:r>
              <w:rPr>
                <w:rFonts w:cs="Times New Roman"/>
                <w:sz w:val="24"/>
              </w:rPr>
              <w:t>22</w:t>
            </w:r>
          </w:p>
        </w:tc>
        <w:tc>
          <w:tcPr>
            <w:tcW w:w="497" w:type="pct"/>
            <w:vMerge w:val="continue"/>
            <w:vAlign w:val="center"/>
          </w:tcPr>
          <w:p>
            <w:pPr>
              <w:spacing w:line="240" w:lineRule="auto"/>
              <w:jc w:val="center"/>
              <w:rPr>
                <w:rFonts w:cs="Times New Roman"/>
                <w:sz w:val="24"/>
              </w:rPr>
            </w:pPr>
          </w:p>
        </w:tc>
        <w:tc>
          <w:tcPr>
            <w:tcW w:w="1776" w:type="pct"/>
            <w:gridSpan w:val="2"/>
            <w:vAlign w:val="center"/>
          </w:tcPr>
          <w:p>
            <w:pPr>
              <w:spacing w:line="240" w:lineRule="auto"/>
              <w:jc w:val="center"/>
              <w:rPr>
                <w:rFonts w:cs="Times New Roman"/>
                <w:sz w:val="24"/>
              </w:rPr>
            </w:pPr>
            <w:r>
              <w:rPr>
                <w:rFonts w:cs="Times New Roman"/>
                <w:sz w:val="24"/>
              </w:rPr>
              <w:t>放射源辐射事故发生率</w:t>
            </w:r>
          </w:p>
          <w:p>
            <w:pPr>
              <w:spacing w:line="240" w:lineRule="auto"/>
              <w:jc w:val="center"/>
              <w:rPr>
                <w:rFonts w:cs="Times New Roman"/>
                <w:sz w:val="24"/>
              </w:rPr>
            </w:pPr>
            <w:r>
              <w:rPr>
                <w:rFonts w:cs="Times New Roman"/>
                <w:sz w:val="24"/>
              </w:rPr>
              <w:t>（起/每万枚）</w:t>
            </w:r>
          </w:p>
        </w:tc>
        <w:tc>
          <w:tcPr>
            <w:tcW w:w="843" w:type="pct"/>
            <w:vAlign w:val="center"/>
          </w:tcPr>
          <w:p>
            <w:pPr>
              <w:spacing w:line="240" w:lineRule="auto"/>
              <w:jc w:val="center"/>
              <w:rPr>
                <w:rFonts w:cs="Times New Roman"/>
                <w:sz w:val="24"/>
              </w:rPr>
            </w:pPr>
            <w:r>
              <w:rPr>
                <w:rFonts w:cs="Times New Roman"/>
                <w:sz w:val="24"/>
              </w:rPr>
              <w:t>0</w:t>
            </w:r>
          </w:p>
        </w:tc>
        <w:tc>
          <w:tcPr>
            <w:tcW w:w="928" w:type="pct"/>
            <w:vAlign w:val="center"/>
          </w:tcPr>
          <w:p>
            <w:pPr>
              <w:spacing w:line="240" w:lineRule="auto"/>
              <w:jc w:val="center"/>
              <w:rPr>
                <w:rFonts w:cs="Times New Roman"/>
                <w:sz w:val="24"/>
              </w:rPr>
            </w:pPr>
            <w:r>
              <w:rPr>
                <w:rFonts w:cs="Times New Roman"/>
                <w:sz w:val="24"/>
              </w:rPr>
              <w:t>0</w:t>
            </w:r>
          </w:p>
        </w:tc>
        <w:tc>
          <w:tcPr>
            <w:tcW w:w="597" w:type="pct"/>
            <w:vAlign w:val="center"/>
          </w:tcPr>
          <w:p>
            <w:pPr>
              <w:spacing w:line="240" w:lineRule="auto"/>
              <w:jc w:val="center"/>
              <w:rPr>
                <w:rFonts w:cs="Times New Roman"/>
                <w:sz w:val="24"/>
              </w:rPr>
            </w:pPr>
            <w:r>
              <w:rPr>
                <w:rFonts w:cs="Times New Roman"/>
                <w:sz w:val="24"/>
              </w:rPr>
              <w:t>预期性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After w:val="1"/>
          <w:wAfter w:w="8" w:type="pct"/>
        </w:trPr>
        <w:tc>
          <w:tcPr>
            <w:tcW w:w="4992" w:type="pct"/>
            <w:gridSpan w:val="8"/>
            <w:vAlign w:val="center"/>
          </w:tcPr>
          <w:p>
            <w:pPr>
              <w:spacing w:line="240" w:lineRule="auto"/>
              <w:rPr>
                <w:rFonts w:cs="Times New Roman"/>
                <w:sz w:val="24"/>
              </w:rPr>
            </w:pPr>
            <w:r>
              <w:rPr>
                <w:rFonts w:cs="Times New Roman"/>
                <w:sz w:val="24"/>
              </w:rPr>
              <w:t>注：1.“空气质量全年优良天数”评价是采用地级城市空气质量全年优良天数的平均天数。所采用数据为剔除境外草原、森林火灾及沙尘等因素导致的天气数据。</w:t>
            </w:r>
          </w:p>
          <w:p>
            <w:pPr>
              <w:spacing w:line="240" w:lineRule="auto"/>
              <w:rPr>
                <w:rFonts w:cs="Times New Roman"/>
                <w:sz w:val="24"/>
              </w:rPr>
            </w:pPr>
            <w:r>
              <w:rPr>
                <w:rFonts w:cs="Times New Roman"/>
                <w:sz w:val="24"/>
              </w:rPr>
              <w:t>2.“细颗粒物浓度”为年均浓度，采用简单算术平均数。所采用数据为剔除境外草原、森林火灾及沙尘等因素导致的天气数据。</w:t>
            </w:r>
          </w:p>
          <w:p>
            <w:pPr>
              <w:spacing w:line="240" w:lineRule="auto"/>
              <w:rPr>
                <w:rFonts w:cs="Times New Roman"/>
                <w:sz w:val="24"/>
              </w:rPr>
            </w:pPr>
            <w:r>
              <w:rPr>
                <w:rFonts w:cs="Times New Roman"/>
                <w:sz w:val="24"/>
              </w:rPr>
              <w:t>3</w:t>
            </w:r>
            <w:r>
              <w:rPr>
                <w:rFonts w:hint="eastAsia" w:cs="Times New Roman"/>
                <w:sz w:val="24"/>
              </w:rPr>
              <w:t>.</w:t>
            </w:r>
            <w:r>
              <w:rPr>
                <w:rFonts w:cs="Times New Roman"/>
                <w:sz w:val="24"/>
              </w:rPr>
              <w:t>全市地表水生态环境质量指标根据‘十四五’期间满洲里市1个国考断面计。</w:t>
            </w:r>
          </w:p>
          <w:p>
            <w:pPr>
              <w:spacing w:line="240" w:lineRule="auto"/>
              <w:rPr>
                <w:rFonts w:cs="Times New Roman"/>
                <w:sz w:val="24"/>
              </w:rPr>
            </w:pPr>
            <w:r>
              <w:rPr>
                <w:rFonts w:cs="Times New Roman"/>
                <w:sz w:val="24"/>
              </w:rPr>
              <w:t>4.“生态保护红线占国土空间面积的比例”按照上级确定生态红线保护比例执行。</w:t>
            </w:r>
          </w:p>
          <w:p>
            <w:pPr>
              <w:spacing w:line="240" w:lineRule="auto"/>
              <w:rPr>
                <w:rFonts w:cs="Times New Roman"/>
                <w:sz w:val="24"/>
              </w:rPr>
            </w:pPr>
            <w:r>
              <w:rPr>
                <w:rFonts w:cs="Times New Roman"/>
                <w:sz w:val="24"/>
              </w:rPr>
              <w:t>5.“--”代表为没有基数。</w:t>
            </w:r>
          </w:p>
        </w:tc>
      </w:tr>
      <w:bookmarkEnd w:id="7"/>
    </w:tbl>
    <w:p>
      <w:pPr>
        <w:ind w:firstLine="600" w:firstLineChars="200"/>
      </w:pPr>
    </w:p>
    <w:p>
      <w:pPr>
        <w:pStyle w:val="3"/>
        <w:spacing w:before="408" w:after="204"/>
      </w:pPr>
      <w:bookmarkStart w:id="8" w:name="_Toc123548274"/>
      <w:r>
        <w:rPr>
          <w:rFonts w:hint="eastAsia"/>
        </w:rPr>
        <w:t xml:space="preserve">第三章 </w:t>
      </w:r>
      <w:r>
        <w:t xml:space="preserve"> </w:t>
      </w:r>
      <w:r>
        <w:rPr>
          <w:rFonts w:hint="eastAsia"/>
        </w:rPr>
        <w:t>强化绿色源头防控，推动绿色低碳发展</w:t>
      </w:r>
      <w:bookmarkEnd w:id="8"/>
    </w:p>
    <w:p>
      <w:pPr>
        <w:pStyle w:val="4"/>
      </w:pPr>
      <w:bookmarkStart w:id="9" w:name="_Toc123548275"/>
      <w:r>
        <w:rPr>
          <w:rFonts w:hint="eastAsia"/>
        </w:rPr>
        <w:t xml:space="preserve">第一节 </w:t>
      </w:r>
      <w:r>
        <w:t xml:space="preserve"> </w:t>
      </w:r>
      <w:r>
        <w:rPr>
          <w:rFonts w:hint="eastAsia"/>
        </w:rPr>
        <w:t>建立国土空间开发新格局</w:t>
      </w:r>
      <w:bookmarkEnd w:id="9"/>
    </w:p>
    <w:p>
      <w:pPr>
        <w:ind w:firstLine="600" w:firstLineChars="200"/>
      </w:pPr>
      <w:r>
        <w:rPr>
          <w:rFonts w:hint="eastAsia"/>
        </w:rPr>
        <w:t>严格落实国家和自治区主体功能区战略，落实国土空间规划，将“三区三线”作为调整经济结构、规划产业发展、推进城镇化不可逾越的红线，坚持“一张蓝图干到底”，提高土地利用效率，提升产业和人口综合承载能力。根据资源环境承载能力和国土空间开发适宜性，锚定建成内蒙古东部区域中心城市的目标，按照“口岸驱动、产城融合”的思路，调节主城区和重点镇区发展规模，完善国土空间治理体系。坚持把发展重点放到保护生态环境、提供生态产品上，形成主体功能明显、优势互补、高质量发展的国土空间开发保护新格局；在东湖区新开河两岸、二子湖沿岸发展生态型农业，对优质蔬菜综合生产基地进行保护，对不适宜继续种植的耕地进行退耕还草还林；严格控制城镇开发边界防止城镇无序扩张，加大城镇生态系统保护修复力度，增强绿地生态功能，优化建成区绿地格局。</w:t>
      </w:r>
    </w:p>
    <w:p>
      <w:pPr>
        <w:pStyle w:val="4"/>
      </w:pPr>
      <w:bookmarkStart w:id="10" w:name="_Toc123548276"/>
      <w:r>
        <w:rPr>
          <w:rFonts w:hint="eastAsia"/>
        </w:rPr>
        <w:t xml:space="preserve">第二节 </w:t>
      </w:r>
      <w:r>
        <w:t xml:space="preserve"> </w:t>
      </w:r>
      <w:r>
        <w:rPr>
          <w:rFonts w:hint="eastAsia"/>
        </w:rPr>
        <w:t>大力发展绿色产业体系</w:t>
      </w:r>
      <w:bookmarkEnd w:id="10"/>
    </w:p>
    <w:p>
      <w:pPr>
        <w:ind w:firstLine="602" w:firstLineChars="200"/>
      </w:pPr>
      <w:r>
        <w:rPr>
          <w:rFonts w:hint="eastAsia"/>
          <w:b/>
          <w:bCs/>
        </w:rPr>
        <w:t>推动工业绿色低碳发展。</w:t>
      </w:r>
      <w:r>
        <w:rPr>
          <w:rFonts w:hint="eastAsia"/>
        </w:rPr>
        <w:t>加大重点行业和重要领域绿色低碳化改造力度，大力发展清洁生产，推行生产者责任延伸制度，全面推进绿色产业、绿色企业、绿色园区发展。严格控制高耗能高污染产业，严格绿色准入，加大落后产能淘汰力度，实施新一轮节能技术改造工程；推动绿色技术创新，加大绿色技术攻关力度，建立绿色技术转移、交易和产业化服务平台；促进环保产业向园区集聚、环保服务向城市集中、工业园区向生态园区转变。推进工业园区循环化改造。按照“减量化、再利用、资源化”原则，建立循环型工业、农业、服务业产业体系，促进生产过程耦合和多联产，支持发展固废资源化利用，稳步扩大活性炭、木质纤维素、生物质固化颗粒燃料产能；推广太阳能建筑一体化技术应用和公共建筑太阳能热水系统，鼓励企业使用绿色建材、再生材料。</w:t>
      </w:r>
    </w:p>
    <w:p>
      <w:pPr>
        <w:ind w:firstLine="602" w:firstLineChars="200"/>
      </w:pPr>
      <w:r>
        <w:rPr>
          <w:rFonts w:hint="eastAsia"/>
          <w:b/>
          <w:bCs/>
        </w:rPr>
        <w:t>深化全民绿色行动。</w:t>
      </w:r>
      <w:r>
        <w:rPr>
          <w:rFonts w:hint="eastAsia"/>
        </w:rPr>
        <w:t>开展节约型机关、绿色家庭、绿色学校、绿色社区、绿色出行、绿色商场、绿色建筑等创建行动，广泛宣传推广简约适度、绿色低碳、文明健康的生活理念和生活方式，落实绿色生活的相关政策和管理制度，推动绿色消费，形成崇尚绿色生活的社会氛围。开展塑料污染治理行动。禁止生产销售使用一次性不可降解塑料制品，加强农药包装废弃物和废旧农膜的回收、处理与综合利用。积极应对气候变化。实施以碳强度控制为主、碳排放总量控制为辅的制度，调整能源结构和运输结构，探索重点行业碳排放达峰路径。</w:t>
      </w:r>
    </w:p>
    <w:p>
      <w:pPr>
        <w:pStyle w:val="4"/>
      </w:pPr>
      <w:bookmarkStart w:id="11" w:name="_Toc123548277"/>
      <w:r>
        <w:rPr>
          <w:rFonts w:hint="eastAsia"/>
        </w:rPr>
        <w:t xml:space="preserve">第三节 </w:t>
      </w:r>
      <w:r>
        <w:t xml:space="preserve"> </w:t>
      </w:r>
      <w:r>
        <w:rPr>
          <w:rFonts w:hint="eastAsia"/>
        </w:rPr>
        <w:t>全面落实生态环境分区管控</w:t>
      </w:r>
      <w:bookmarkEnd w:id="11"/>
    </w:p>
    <w:p>
      <w:pPr>
        <w:ind w:firstLine="600" w:firstLineChars="200"/>
      </w:pPr>
      <w:r>
        <w:rPr>
          <w:rFonts w:hint="eastAsia"/>
        </w:rPr>
        <w:t>加快构建基于实施呼伦贝尔市“三线一单”（生态保护红线、环境质量底线、资源利用上线和生态环境准入清单）的生态环境分区管控。全市划定环境管控单元</w:t>
      </w:r>
      <w:r>
        <w:t>15</w:t>
      </w:r>
      <w:r>
        <w:rPr>
          <w:rFonts w:hint="eastAsia"/>
        </w:rPr>
        <w:t>个，包括优先保护单元、重点管控单元两类，实施分类管控。优先保护单元共</w:t>
      </w:r>
      <w:r>
        <w:t>5</w:t>
      </w:r>
      <w:r>
        <w:rPr>
          <w:rFonts w:hint="eastAsia"/>
        </w:rPr>
        <w:t>个，主要包括生态保护红线、一般生态空间、自然保护地、集中式饮用水水源保护区等生态功能重要区和生态环境敏感区。该区域以生态环境保护优先为原则，依法禁止或限制大规模、高强度的工业开发和城镇建设，确保生态环境功能不降低。重点管控单元共</w:t>
      </w:r>
      <w:r>
        <w:t>10</w:t>
      </w:r>
      <w:r>
        <w:rPr>
          <w:rFonts w:hint="eastAsia"/>
        </w:rPr>
        <w:t>个，主要包括工业园区、贸易区、保税区、城市、采矿用地以及生态需水补给区等开发强度高、污染排放量大、环境问题相对集中的区域。该区域应不断提升资源利用效率，有针对性地加强污染物排放控制和环境风险防控，改善生态环境质量，降低生态环境风险等。</w:t>
      </w:r>
    </w:p>
    <w:p>
      <w:pPr>
        <w:pStyle w:val="4"/>
      </w:pPr>
      <w:bookmarkStart w:id="12" w:name="_Toc123548278"/>
      <w:r>
        <w:rPr>
          <w:rFonts w:hint="eastAsia"/>
        </w:rPr>
        <w:t xml:space="preserve">第四节 </w:t>
      </w:r>
      <w:r>
        <w:t xml:space="preserve"> </w:t>
      </w:r>
      <w:r>
        <w:rPr>
          <w:rFonts w:hint="eastAsia"/>
        </w:rPr>
        <w:t>加快产业结构升级</w:t>
      </w:r>
      <w:bookmarkEnd w:id="12"/>
    </w:p>
    <w:p>
      <w:pPr>
        <w:ind w:firstLine="602" w:firstLineChars="200"/>
      </w:pPr>
      <w:r>
        <w:rPr>
          <w:rFonts w:hint="eastAsia"/>
          <w:b/>
          <w:bCs/>
        </w:rPr>
        <w:t>严格准入条件。</w:t>
      </w:r>
      <w:r>
        <w:rPr>
          <w:rFonts w:hint="eastAsia"/>
        </w:rPr>
        <w:t>以实现碳达峰碳中和为目标导向，严格执行碳达峰行动方案，坚决遏制高耗能产业盲目发展和低水平重复建设，从严控制存量高耗能企业新增用能，从严控制新建高耗能项目审批，合理安排新建成高耗能项目投产时序。提高新建项目节能环保标准，新建高耗能项目工艺和技术装备、能效水平、治理水平等达到国内先进水平。加大重点行业生产全过程管理，提高行业清洁生产能力。</w:t>
      </w:r>
    </w:p>
    <w:p>
      <w:pPr>
        <w:ind w:firstLine="602" w:firstLineChars="200"/>
      </w:pPr>
      <w:r>
        <w:rPr>
          <w:rFonts w:hint="eastAsia"/>
          <w:b/>
          <w:bCs/>
        </w:rPr>
        <w:t>调整产业结构。</w:t>
      </w:r>
      <w:r>
        <w:rPr>
          <w:rFonts w:hint="eastAsia"/>
        </w:rPr>
        <w:t>加大火电、烧结砖瓦等行业落后产能淘汰和过剩产能压减力度，支持煤炭、建材等传统产业企业加强技术创新、完善工艺流程，促进工业技改投资，推动传统产业行业深度治理和绿色低碳升级改造，实施减污降碳协同治理。巩固提升“散乱污”工业企业治理成效。</w:t>
      </w:r>
    </w:p>
    <w:p>
      <w:pPr>
        <w:ind w:firstLine="602" w:firstLineChars="200"/>
      </w:pPr>
      <w:r>
        <w:rPr>
          <w:rFonts w:hint="eastAsia"/>
          <w:b/>
          <w:bCs/>
        </w:rPr>
        <w:t>推进能源资源利用。</w:t>
      </w:r>
      <w:r>
        <w:rPr>
          <w:rFonts w:hint="eastAsia"/>
        </w:rPr>
        <w:t>加快新旧动能转换，培育打造战略性新兴产业和现代服务业，构建现代化绿色产业体系，形成生态环境质量改善的强大内生动力。提升行业资源能源利用效率，严格执行产品能效、水效、能耗限额、碳排放、污染物排放等标准，建立健全节能、循环经济体系。对重点行业深入推进强制性清洁生产审核，传统行业实施清洁化改造。</w:t>
      </w:r>
    </w:p>
    <w:p>
      <w:pPr>
        <w:pStyle w:val="4"/>
      </w:pPr>
      <w:bookmarkStart w:id="13" w:name="_Toc123548279"/>
      <w:r>
        <w:rPr>
          <w:rFonts w:hint="eastAsia"/>
        </w:rPr>
        <w:t xml:space="preserve">第五节 </w:t>
      </w:r>
      <w:r>
        <w:t xml:space="preserve"> </w:t>
      </w:r>
      <w:r>
        <w:rPr>
          <w:rFonts w:hint="eastAsia"/>
        </w:rPr>
        <w:t>大力发展清洁能源</w:t>
      </w:r>
      <w:bookmarkEnd w:id="13"/>
    </w:p>
    <w:p>
      <w:pPr>
        <w:ind w:firstLine="602" w:firstLineChars="200"/>
      </w:pPr>
      <w:r>
        <w:rPr>
          <w:rFonts w:hint="eastAsia"/>
          <w:b/>
          <w:bCs/>
        </w:rPr>
        <w:t>优化能源供给结构。</w:t>
      </w:r>
      <w:r>
        <w:rPr>
          <w:rFonts w:hint="eastAsia"/>
        </w:rPr>
        <w:t>调整优化能源结构和开发布局，主动融入蒙东新能源基地建设，大力推进光伏、风电等新能源开发利用，推动非化石能源成为能源消费增量的主体。促进煤炭产业转型发展，科学控制产能产量，淘汰落后产能，释放优质产能，在保煤的前提下，持续优化煤炭产能结构，严格控制煤炭开发强度。</w:t>
      </w:r>
    </w:p>
    <w:p>
      <w:pPr>
        <w:ind w:firstLine="602" w:firstLineChars="200"/>
      </w:pPr>
      <w:r>
        <w:rPr>
          <w:rFonts w:hint="eastAsia"/>
          <w:b/>
          <w:bCs/>
        </w:rPr>
        <w:t>加大能耗“双控”力度。</w:t>
      </w:r>
      <w:r>
        <w:rPr>
          <w:rFonts w:hint="eastAsia"/>
        </w:rPr>
        <w:t>严格控制能耗总量和能耗强度，坚持节能优先、量能而行，精细化管控能源消耗，全面推行用能预算管理和重点用能单位能耗在线监测，新建项目单位产品能耗必须达到国家标准。鼓励可再生能源消费，提高能源利用效率，推动产业结构和能源消费结构双优化，推进能源高效利用、梯级利用和能源资源综合利用，鼓励煤炭清洁化利用，重点对火电、化工、建材等高耗能行业重点用能企业实施改造，全面推进煤电机组综合节能改造。压紧压实属地责任、行业部门监管责任和企业主体责任，确保完成能耗“双控”目标任务。</w:t>
      </w:r>
    </w:p>
    <w:p>
      <w:pPr>
        <w:pStyle w:val="4"/>
      </w:pPr>
      <w:bookmarkStart w:id="14" w:name="_Toc123548280"/>
      <w:r>
        <w:rPr>
          <w:rFonts w:hint="eastAsia"/>
        </w:rPr>
        <w:t xml:space="preserve">第六节 </w:t>
      </w:r>
      <w:r>
        <w:t xml:space="preserve"> </w:t>
      </w:r>
      <w:r>
        <w:rPr>
          <w:rFonts w:hint="eastAsia"/>
        </w:rPr>
        <w:t>构建绿色交通体系</w:t>
      </w:r>
      <w:bookmarkEnd w:id="14"/>
    </w:p>
    <w:p>
      <w:pPr>
        <w:ind w:firstLine="600" w:firstLineChars="200"/>
      </w:pPr>
      <w:r>
        <w:rPr>
          <w:rFonts w:hint="eastAsia"/>
        </w:rPr>
        <w:t>加快推动实施“公转铁”货运增量要求，满足全市煤炭及其他货物铁路运输需求。加强城市综合交通体系管理，协同推进节能减污降碳。全面实施轻型车和重型车国六排放标准，实施非道路移动柴油机械第四阶段排放标准，基本消除未登记或冒黑烟工程机械。到2025年，着力发展绿色化公路新建项目，将绿色低碳新理念、新技术、新工艺、新材料融入交通基础设施的规划设计、施工建设、运营养护全过程，发展低碳交通。全市基本淘汰国三及以下柴油货车。采取路面联合执法检查、检测线年度检测等方式，加大对道路行驶柴油货车检查力度。推进柴油货车治超联合执法常态化、制度化，进一步加大对超限超载行为源头治理力度。加大城市客运新能源汽车推广力度，持续推进城市公交站亭改造和新能源公交车及出租车更新，鼓励城市建成区邮政、轻型物流等配送车辆中增加新能源车辆占比。邮政，轻型物流等配送车辆新能源比例预计2025年达到30%。到2025年，提高绿色出行比例，进一步提升中心城区等重点区域公共交通出行比重，力争实现更新公交车辆全部为新能源车辆，新能源公交车辆占比达到40%以上。现有公交总数198辆，其中48辆新能源公交车，预计到2025年另更新新能源公交车49辆。</w:t>
      </w:r>
    </w:p>
    <w:p>
      <w:pPr>
        <w:pStyle w:val="4"/>
      </w:pPr>
      <w:bookmarkStart w:id="15" w:name="_Toc123548281"/>
      <w:r>
        <w:rPr>
          <w:rFonts w:hint="eastAsia"/>
        </w:rPr>
        <w:t xml:space="preserve">第七节 </w:t>
      </w:r>
      <w:r>
        <w:t xml:space="preserve"> </w:t>
      </w:r>
      <w:r>
        <w:rPr>
          <w:rFonts w:hint="eastAsia"/>
        </w:rPr>
        <w:t>推行绿色低碳生活方式</w:t>
      </w:r>
      <w:bookmarkEnd w:id="15"/>
    </w:p>
    <w:p>
      <w:pPr>
        <w:ind w:firstLine="602" w:firstLineChars="200"/>
      </w:pPr>
      <w:r>
        <w:rPr>
          <w:rFonts w:hint="eastAsia"/>
          <w:b/>
          <w:bCs/>
        </w:rPr>
        <w:t>加强生态文明意识教育。</w:t>
      </w:r>
      <w:r>
        <w:rPr>
          <w:rFonts w:hint="eastAsia"/>
        </w:rPr>
        <w:t>加强生态环境宣传教育，加大习近平生态文明思想宣传力度，积极动员各类媒体，创新传播平台路径，讲好生态文明故事，进一步推进习近平生态文明思想深入人心。推进生态文明教育，深化生态文明教育基地建设。加大生态环境保护学科建设和高层次人才培养力度，促进生态环境教育事业蓬勃发展。强化舆论引导，全面提升全民生态环境意识和科学素质，为推动绿色发展营造良好的社会氛围</w:t>
      </w:r>
    </w:p>
    <w:p>
      <w:pPr>
        <w:ind w:firstLine="602" w:firstLineChars="200"/>
      </w:pPr>
      <w:r>
        <w:rPr>
          <w:rFonts w:hint="eastAsia"/>
          <w:b/>
          <w:bCs/>
        </w:rPr>
        <w:t>培育生态文明理念。</w:t>
      </w:r>
      <w:r>
        <w:rPr>
          <w:rFonts w:hint="eastAsia"/>
        </w:rPr>
        <w:t>大力宣传尊重自然、顺应自然、保护自然的生态文明理念，倡导简约适度、绿色低碳的生活方式，在全社会唱响生态文明建设主旋律。推动环保设施向公众开放。扎实推进新时代文明实践工作，推动群众性生态文明绿色行动深入开展。</w:t>
      </w:r>
    </w:p>
    <w:p>
      <w:pPr>
        <w:ind w:firstLine="602" w:firstLineChars="200"/>
      </w:pPr>
      <w:r>
        <w:rPr>
          <w:rFonts w:hint="eastAsia"/>
          <w:b/>
          <w:bCs/>
        </w:rPr>
        <w:t>推进全民绿色生活绿色消费。</w:t>
      </w:r>
      <w:r>
        <w:rPr>
          <w:rFonts w:hint="eastAsia"/>
        </w:rPr>
        <w:t>推行《公民生态环境行为规范（试行）》，积极倡导绿色出行、绿色消费、绿色餐饮、绿色快递、绿色旅游等，引导公众积极践行绿色生活方式。推进城市社区基础设施绿色化。推动节约型机关、绿色家庭、绿色学校、绿色社区、绿色建筑等创建活动，到2025年，绿色生活创建活动取得显著成效。</w:t>
      </w:r>
    </w:p>
    <w:p>
      <w:pPr>
        <w:ind w:firstLine="600" w:firstLineChars="200"/>
      </w:pPr>
    </w:p>
    <w:p>
      <w:pPr>
        <w:pStyle w:val="3"/>
        <w:spacing w:before="408" w:after="204"/>
      </w:pPr>
      <w:bookmarkStart w:id="16" w:name="_Toc123548282"/>
      <w:r>
        <w:rPr>
          <w:rFonts w:hint="eastAsia"/>
        </w:rPr>
        <w:t xml:space="preserve">第四章 </w:t>
      </w:r>
      <w:r>
        <w:t xml:space="preserve"> </w:t>
      </w:r>
      <w:r>
        <w:rPr>
          <w:rFonts w:hint="eastAsia"/>
        </w:rPr>
        <w:t>控制温室气体排放，积极应对气候变化</w:t>
      </w:r>
      <w:bookmarkEnd w:id="16"/>
    </w:p>
    <w:p>
      <w:pPr>
        <w:pStyle w:val="4"/>
      </w:pPr>
      <w:bookmarkStart w:id="17" w:name="_Toc123548283"/>
      <w:r>
        <w:rPr>
          <w:rFonts w:hint="eastAsia"/>
        </w:rPr>
        <w:t xml:space="preserve">第一节 </w:t>
      </w:r>
      <w:r>
        <w:t xml:space="preserve"> </w:t>
      </w:r>
      <w:r>
        <w:rPr>
          <w:rFonts w:hint="eastAsia"/>
        </w:rPr>
        <w:t>开展碳排放达峰行动</w:t>
      </w:r>
      <w:bookmarkEnd w:id="17"/>
    </w:p>
    <w:p>
      <w:pPr>
        <w:ind w:firstLine="602" w:firstLineChars="200"/>
      </w:pPr>
      <w:r>
        <w:rPr>
          <w:rFonts w:hint="eastAsia"/>
          <w:b/>
          <w:bCs/>
        </w:rPr>
        <w:t>制定二氧化碳排放达峰行动方案。</w:t>
      </w:r>
      <w:r>
        <w:rPr>
          <w:rFonts w:hint="eastAsia"/>
        </w:rPr>
        <w:t>在深入研究和综合研判满洲里市的发展水平、资源禀赋、战略定位、产业结构等因素的基础上，制定满洲里碳排放达峰行动计划，积极开展达峰行动，明确峰值目标和路线图。加快建立“1+N”政策体系，即碳达峰总体实施方案和各行业、各领域分别的政策措施，涉及能源、工业、交通运输等分领域分行业碳达峰实施方案。在“十四五”期间综合运用相关政策工具和手段措施推动实施，确保在2030年前全市实现二氧化碳排放达峰的战略目标。探索开展低碳园区、社区、近零碳排放示范工程创建工作。</w:t>
      </w:r>
    </w:p>
    <w:p>
      <w:pPr>
        <w:ind w:firstLine="602" w:firstLineChars="200"/>
      </w:pPr>
      <w:r>
        <w:rPr>
          <w:rFonts w:hint="eastAsia"/>
          <w:b/>
          <w:bCs/>
        </w:rPr>
        <w:t>推进重点行业二氧化碳排放达峰。</w:t>
      </w:r>
      <w:r>
        <w:rPr>
          <w:rFonts w:hint="eastAsia"/>
        </w:rPr>
        <w:t>重点控制煤电、化工等高碳排放行业二氧化碳排放，引导市内重点高碳排放企业开展二氧化碳排放达峰行动，鼓励高碳排放行业和重点企业制定二氧化碳达峰行动方案，降低煤炭消耗。严格控制高耗能项目准入，对已有项目按照先进的能效标准改造提升。组织实施建材、电力、化工等重点行业清洁生产水平提升工程，提高工业用能效率。持续淘汰落后产能、化解过剩产能，控制传统化工产业产能总规模。优化电力、化工、建材等传统行业，积极引导现有企业技术改造升级，强化资源综合利用、循环发展。控制农牧林业生产活动、商业和公共机构温室气体排放。加大对企业低碳技术创新的支持力度，鼓励企业采用《国家重点推广的低碳技术目录》进行升级改造。</w:t>
      </w:r>
    </w:p>
    <w:p>
      <w:pPr>
        <w:ind w:firstLine="602" w:firstLineChars="200"/>
      </w:pPr>
      <w:r>
        <w:rPr>
          <w:rFonts w:hint="eastAsia"/>
          <w:b/>
          <w:bCs/>
        </w:rPr>
        <w:t>大力发展低碳交通。</w:t>
      </w:r>
      <w:r>
        <w:rPr>
          <w:rFonts w:hint="eastAsia"/>
        </w:rPr>
        <w:t>推广使用高效、节能、环保的交通运输工具，大力推广节能和新能源汽车，加大新能源和清洁能源在城市公交车、出租车、网约车中的应用，加大交通行业节能低碳技术推广。逐步形成中运量公交、公交快车、公交主线、公交支线、社区巴士等舒适便捷的多层次公交系统。</w:t>
      </w:r>
    </w:p>
    <w:p>
      <w:pPr>
        <w:ind w:firstLine="602" w:firstLineChars="200"/>
      </w:pPr>
      <w:r>
        <w:rPr>
          <w:rFonts w:hint="eastAsia"/>
          <w:b/>
          <w:bCs/>
        </w:rPr>
        <w:t>加快发展绿色低碳建筑。</w:t>
      </w:r>
      <w:r>
        <w:rPr>
          <w:rFonts w:hint="eastAsia"/>
        </w:rPr>
        <w:t>提高建筑节能和绿色建筑发展水平，加快发展绿色低碳建筑。加快推进以公共建筑为核心的既有建筑绿色改造工作，促进节能空调、节能电梯以及可再生能源的使用。深入开展绿色建筑行动，新建建筑严格执行居住建筑节能标准和绿色建筑标准。推广装配式建筑，倡导发展现代木结构建筑，鼓励使用新型墙体材料。引导和推动高星级绿色建筑发展。到2025年，新建绿色建筑占新建建筑比重达到100%。努力争取供热源头的清洁化，积极利用热电联产集中供热、工业废热集中供热以及可再生能源供热。加大供热管网建设和改造力度，提高热量传输效率减少耗散。</w:t>
      </w:r>
    </w:p>
    <w:p>
      <w:pPr>
        <w:ind w:firstLine="602" w:firstLineChars="200"/>
      </w:pPr>
      <w:r>
        <w:rPr>
          <w:rFonts w:hint="eastAsia"/>
          <w:b/>
          <w:bCs/>
        </w:rPr>
        <w:t>控制非二氧化碳温室气体排放。</w:t>
      </w:r>
      <w:r>
        <w:rPr>
          <w:rFonts w:hint="eastAsia"/>
        </w:rPr>
        <w:t>开展废弃煤矿瓦斯治理和利用，严控关闭矿井瓦斯逸散。持续推进低碳排放选种技术，改进耕作技术，推行土壤改良措施。加强标准化规模种植养殖，控制农田和畜禽养殖甲烷和氧化亚氮排放。</w:t>
      </w:r>
    </w:p>
    <w:p>
      <w:pPr>
        <w:pStyle w:val="4"/>
      </w:pPr>
      <w:bookmarkStart w:id="18" w:name="_Toc123548284"/>
      <w:r>
        <w:rPr>
          <w:rFonts w:hint="eastAsia"/>
        </w:rPr>
        <w:t xml:space="preserve">第二节 </w:t>
      </w:r>
      <w:r>
        <w:t xml:space="preserve"> </w:t>
      </w:r>
      <w:r>
        <w:rPr>
          <w:rFonts w:hint="eastAsia"/>
        </w:rPr>
        <w:t>积极适应气候变化</w:t>
      </w:r>
      <w:bookmarkEnd w:id="18"/>
    </w:p>
    <w:p>
      <w:pPr>
        <w:ind w:firstLine="602" w:firstLineChars="200"/>
      </w:pPr>
      <w:r>
        <w:rPr>
          <w:rFonts w:hint="eastAsia"/>
          <w:b/>
          <w:bCs/>
        </w:rPr>
        <w:t>提升适应气候变化能力。</w:t>
      </w:r>
      <w:r>
        <w:rPr>
          <w:rFonts w:hint="eastAsia"/>
        </w:rPr>
        <w:t>不断提高农业、林业、草原、水资源、基础设施及城市、生态脆弱区的适应气候变化能力。合理布局城市空间，提高市政公用基础设施、交通运输设施、电力基础设施韧性。推动种植业、畜牧业适应气候变化。提升自然生态系统适应能力，重点在森林草原、河流湖泊和生态脆弱区。强化普及公众适应气候变化健康保护知识和极端事件应急防护技能，提高脆弱人群风险防护能力。开展自然灾害综合风险普查，加强自然灾害监测预报预警，提高综合防灾减灾救灾能力。</w:t>
      </w:r>
    </w:p>
    <w:p>
      <w:pPr>
        <w:ind w:firstLine="602" w:firstLineChars="200"/>
      </w:pPr>
      <w:r>
        <w:rPr>
          <w:rFonts w:hint="eastAsia"/>
          <w:b/>
          <w:bCs/>
        </w:rPr>
        <w:t>增加生态系统碳汇储量。</w:t>
      </w:r>
      <w:r>
        <w:rPr>
          <w:rFonts w:hint="eastAsia"/>
        </w:rPr>
        <w:t>加强生态保护与修复，提高生态系统碳固定服务功能。增强森林碳汇、草原碳汇、湿地碳汇能力，增加农田固碳能力。增加森林面积，提升森林质量，强力推进造林绿化步伐，积极推动国家森林城市建设。统筹协调草原保护开发，大力推广绿色矿业发展示范区建设，封禁保护草原严格区、限制利用草原一般控制区，推进美丽草原建设。着力加强二卡国家湿地公园、霍勒金布拉格国家湿地公园等湿地公园的湿地保护与生态修复，实施湿地植被保护与重建，修复和畅通生态廊道，维护生物多样性。完善和修复湿地基础设施，增强气象服务功能。实施耕地质量保护与提升工程，大力建设高标准农田项目，推广集成农艺节水技术、水肥一体化技术。推广增施有机肥。</w:t>
      </w:r>
    </w:p>
    <w:p>
      <w:pPr>
        <w:pStyle w:val="4"/>
      </w:pPr>
      <w:bookmarkStart w:id="19" w:name="_Toc123548285"/>
      <w:r>
        <w:rPr>
          <w:rFonts w:hint="eastAsia"/>
        </w:rPr>
        <w:t xml:space="preserve">第三节 </w:t>
      </w:r>
      <w:r>
        <w:t xml:space="preserve"> </w:t>
      </w:r>
      <w:r>
        <w:rPr>
          <w:rFonts w:hint="eastAsia"/>
        </w:rPr>
        <w:t>加强应对气候变化管理</w:t>
      </w:r>
      <w:bookmarkEnd w:id="19"/>
    </w:p>
    <w:p>
      <w:pPr>
        <w:ind w:firstLine="602" w:firstLineChars="200"/>
      </w:pPr>
      <w:r>
        <w:rPr>
          <w:rFonts w:hint="eastAsia"/>
          <w:b/>
          <w:bCs/>
        </w:rPr>
        <w:t>加强二氧化碳交易市场建设。</w:t>
      </w:r>
      <w:r>
        <w:rPr>
          <w:rFonts w:hint="eastAsia"/>
        </w:rPr>
        <w:t>推动企业完善碳排放管理，做好碳排放、碳交易及碳资产管理，推动企业主动适应、积极参与全国碳交易，提高企业绿色低碳竞争力。加强温室气体排放核算工作，切实抓好重点企业碳排放质量控制计划制定工作，督促企业按时完成核算报告报送与质量控制计划制定、更新工作，积极稳妥推进满洲里市企业参与全国碳排放权交易。开展温室气体排放信息披露，鼓励企业主动公布温室气体排放信息和控排行动。</w:t>
      </w:r>
    </w:p>
    <w:p>
      <w:pPr>
        <w:ind w:firstLine="602" w:firstLineChars="200"/>
      </w:pPr>
      <w:r>
        <w:rPr>
          <w:rFonts w:hint="eastAsia"/>
          <w:b/>
          <w:bCs/>
        </w:rPr>
        <w:t>推动实现减污降碳协同控制。</w:t>
      </w:r>
      <w:r>
        <w:rPr>
          <w:rFonts w:hint="eastAsia"/>
        </w:rPr>
        <w:t>探索温室气体排放与污染防治监管体系的有效衔接路径，强化治理目标一致性和治理体系协同性。加强全过程监管，积极推动排放单位监管、排污许可制度、减排措施融合，将碳排放重点企业纳入污染源日常监管。推进碳排放报告、监测、核查制度与排污许可制度融合，推进企事业单位污染物和温室气体排放相关数据的统一采集、相互补充。按照国家和自治区安排部署，探索规划环评中开展碳排放环境影响评价。通过规划环评、项目环评，推动区域、行业和企业落实煤炭等量减量代替、温室气体排放控制等政策要求。</w:t>
      </w:r>
    </w:p>
    <w:p>
      <w:pPr>
        <w:ind w:firstLine="602" w:firstLineChars="200"/>
      </w:pPr>
      <w:r>
        <w:rPr>
          <w:rFonts w:hint="eastAsia"/>
          <w:b/>
          <w:bCs/>
        </w:rPr>
        <w:t>推进应对气候变化制度融合。</w:t>
      </w:r>
      <w:r>
        <w:rPr>
          <w:rFonts w:hint="eastAsia"/>
        </w:rPr>
        <w:t>强化高耗能高碳排放项目环境影响评价审批管理，推动将碳排放纳入环境影响评价，探索实行重大项目碳排放管理。推进企事业单位污染物和温室气体排放相关数据统一采集、相互补充、交叉校核。推动将应对气候变化相关工作存在的突出问题，落实地方党委政府减碳降耗责任。</w:t>
      </w:r>
    </w:p>
    <w:p>
      <w:pPr>
        <w:pStyle w:val="3"/>
        <w:spacing w:before="408" w:after="204"/>
      </w:pPr>
      <w:bookmarkStart w:id="20" w:name="_Toc123548286"/>
      <w:r>
        <w:rPr>
          <w:rFonts w:hint="eastAsia"/>
        </w:rPr>
        <w:t xml:space="preserve">第五章 </w:t>
      </w:r>
      <w:r>
        <w:t xml:space="preserve"> </w:t>
      </w:r>
      <w:r>
        <w:rPr>
          <w:rFonts w:hint="eastAsia"/>
        </w:rPr>
        <w:t>加强协同控制，持续改善大气环境</w:t>
      </w:r>
      <w:bookmarkEnd w:id="20"/>
    </w:p>
    <w:p>
      <w:pPr>
        <w:pStyle w:val="4"/>
      </w:pPr>
      <w:bookmarkStart w:id="21" w:name="_Toc123548287"/>
      <w:r>
        <w:rPr>
          <w:rFonts w:hint="eastAsia"/>
        </w:rPr>
        <w:t xml:space="preserve">第一节 </w:t>
      </w:r>
      <w:r>
        <w:t xml:space="preserve"> </w:t>
      </w:r>
      <w:r>
        <w:rPr>
          <w:rFonts w:hint="eastAsia"/>
        </w:rPr>
        <w:t>开展多污染物协同控制</w:t>
      </w:r>
      <w:bookmarkEnd w:id="21"/>
    </w:p>
    <w:p>
      <w:pPr>
        <w:ind w:firstLine="602" w:firstLineChars="200"/>
      </w:pPr>
      <w:r>
        <w:rPr>
          <w:rFonts w:hint="eastAsia"/>
          <w:b/>
          <w:bCs/>
        </w:rPr>
        <w:t>深入开展重点行业挥发性有机物治理。</w:t>
      </w:r>
      <w:r>
        <w:rPr>
          <w:rFonts w:hint="eastAsia"/>
        </w:rPr>
        <w:t>推进涂装、包装印刷、油品储运销等行业开展挥发性有机物综合治理，加快实施低挥发性有机物含量原辅材料替代，</w:t>
      </w:r>
      <w:r>
        <w:rPr>
          <w:bCs/>
          <w:szCs w:val="30"/>
        </w:rPr>
        <w:t>开展</w:t>
      </w:r>
      <w:r>
        <w:rPr>
          <w:rFonts w:hint="eastAsia"/>
          <w:bCs/>
          <w:szCs w:val="30"/>
        </w:rPr>
        <w:t>机动车、</w:t>
      </w:r>
      <w:r>
        <w:rPr>
          <w:bCs/>
          <w:szCs w:val="30"/>
        </w:rPr>
        <w:t>油品、</w:t>
      </w:r>
      <w:r>
        <w:rPr>
          <w:rFonts w:hint="eastAsia"/>
          <w:bCs/>
          <w:szCs w:val="30"/>
        </w:rPr>
        <w:t>储运</w:t>
      </w:r>
      <w:r>
        <w:rPr>
          <w:bCs/>
          <w:szCs w:val="30"/>
        </w:rPr>
        <w:t>等</w:t>
      </w:r>
      <w:r>
        <w:rPr>
          <w:rFonts w:hint="eastAsia"/>
          <w:bCs/>
          <w:szCs w:val="30"/>
        </w:rPr>
        <w:t>交通源</w:t>
      </w:r>
      <w:r>
        <w:rPr>
          <w:bCs/>
          <w:szCs w:val="30"/>
        </w:rPr>
        <w:t>VOCs</w:t>
      </w:r>
      <w:r>
        <w:rPr>
          <w:rFonts w:hint="eastAsia"/>
          <w:bCs/>
          <w:szCs w:val="30"/>
        </w:rPr>
        <w:t>污染整治</w:t>
      </w:r>
      <w:r>
        <w:rPr>
          <w:bCs/>
          <w:szCs w:val="30"/>
        </w:rPr>
        <w:t>，</w:t>
      </w:r>
      <w:r>
        <w:rPr>
          <w:rFonts w:hint="eastAsia"/>
          <w:bCs/>
          <w:szCs w:val="30"/>
        </w:rPr>
        <w:t>强化</w:t>
      </w:r>
      <w:r>
        <w:rPr>
          <w:bCs/>
          <w:szCs w:val="30"/>
        </w:rPr>
        <w:t>餐饮</w:t>
      </w:r>
      <w:r>
        <w:rPr>
          <w:rFonts w:hint="eastAsia"/>
          <w:bCs/>
          <w:szCs w:val="30"/>
        </w:rPr>
        <w:t>、</w:t>
      </w:r>
      <w:r>
        <w:rPr>
          <w:bCs/>
          <w:szCs w:val="30"/>
        </w:rPr>
        <w:t>汽修、干洗等生活源VOCs污染治理</w:t>
      </w:r>
      <w:r>
        <w:rPr>
          <w:rFonts w:hint="eastAsia"/>
          <w:bCs/>
          <w:szCs w:val="30"/>
        </w:rPr>
        <w:t>，</w:t>
      </w:r>
      <w:r>
        <w:rPr>
          <w:rFonts w:hint="eastAsia"/>
        </w:rPr>
        <w:t>推进涉挥发性有机物产业集群整治提升。实施VOCs排放总量控制。到2025年，挥发性有机物重点工程减排量达到呼伦贝尔市指标要求。</w:t>
      </w:r>
    </w:p>
    <w:p>
      <w:pPr>
        <w:ind w:firstLine="602" w:firstLineChars="200"/>
      </w:pPr>
      <w:r>
        <w:rPr>
          <w:rFonts w:hint="eastAsia"/>
          <w:b/>
          <w:bCs/>
        </w:rPr>
        <w:t>协同打好臭氧污染治理攻坚战。</w:t>
      </w:r>
      <w:r>
        <w:rPr>
          <w:rFonts w:hint="eastAsia"/>
        </w:rPr>
        <w:t>加大锅炉、移动源氮氧化物减排力度。实施含氢氯氟烃（HCFCs）淘汰和替代，将氢氟碳化物（HFCs）生产和消费量冻结在基线水平，继续推动三氟甲烷（HFC-23）的销毁。到2025年，氮氧化物重点工程减排量达到呼伦贝尔市指标要求，臭氧浓度增长趋势得到有效遏制。</w:t>
      </w:r>
    </w:p>
    <w:p>
      <w:pPr>
        <w:ind w:firstLine="602" w:firstLineChars="200"/>
      </w:pPr>
      <w:r>
        <w:rPr>
          <w:rFonts w:hint="eastAsia"/>
          <w:b/>
          <w:bCs/>
        </w:rPr>
        <w:t>加大有毒有害及恶臭污染防控。</w:t>
      </w:r>
      <w:r>
        <w:rPr>
          <w:rFonts w:hint="eastAsia"/>
        </w:rPr>
        <w:t>开展NH</w:t>
      </w:r>
      <w:r>
        <w:rPr>
          <w:rFonts w:hint="eastAsia"/>
          <w:vertAlign w:val="subscript"/>
        </w:rPr>
        <w:t>3</w:t>
      </w:r>
      <w:r>
        <w:rPr>
          <w:rFonts w:hint="eastAsia"/>
        </w:rPr>
        <w:t>排放控制，推进规模化以上养殖业、种植业大气氨减排，加强源头防控，优化化肥、饲料结构，结合国家认可的最新技术逐步推进重点行业大气氨污染防治技术工程建设，强化烟气脱硝氨逃逸防控。加强恶臭深度治理，鼓励开展恶臭投诉重点企业和园区监测。加强生物质锅炉燃料品质及排放管控，禁止使用劣质燃料或掺烧垃圾、工业固废等，对污染物排放不能稳定达到锅炉排放标准的生物质锅炉进行整改或淘汰。</w:t>
      </w:r>
    </w:p>
    <w:p>
      <w:pPr>
        <w:pStyle w:val="4"/>
      </w:pPr>
      <w:bookmarkStart w:id="22" w:name="_Toc123548288"/>
      <w:r>
        <w:rPr>
          <w:rFonts w:hint="eastAsia"/>
        </w:rPr>
        <w:t xml:space="preserve">第二节 </w:t>
      </w:r>
      <w:r>
        <w:t xml:space="preserve"> </w:t>
      </w:r>
      <w:r>
        <w:rPr>
          <w:rFonts w:hint="eastAsia"/>
        </w:rPr>
        <w:t>持续推进重点污染源治理</w:t>
      </w:r>
      <w:bookmarkEnd w:id="22"/>
    </w:p>
    <w:p>
      <w:pPr>
        <w:ind w:firstLine="602" w:firstLineChars="200"/>
      </w:pPr>
      <w:r>
        <w:rPr>
          <w:rFonts w:hint="eastAsia"/>
          <w:b/>
          <w:bCs/>
        </w:rPr>
        <w:t>推进重点行业深度治理。</w:t>
      </w:r>
      <w:r>
        <w:rPr>
          <w:rFonts w:hint="eastAsia"/>
        </w:rPr>
        <w:t>实施工业炉窑提标治理，对涉气环保违法违规建设项目进行整改清理，加快淘汰热效率低下、治理设施工艺落后的工业炉窑。禁止新建燃料类煤气发生炉，现有企业分散式煤气发生炉全部淘汰。重点涉气排放企业逐步取消烟气旁路，因安全生产无法取消的，安装在线监控系统。</w:t>
      </w:r>
    </w:p>
    <w:p>
      <w:pPr>
        <w:ind w:firstLine="602" w:firstLineChars="200"/>
      </w:pPr>
      <w:r>
        <w:rPr>
          <w:rFonts w:hint="eastAsia"/>
          <w:b/>
          <w:bCs/>
        </w:rPr>
        <w:t>持续开展清洁取暖改造。</w:t>
      </w:r>
      <w:r>
        <w:rPr>
          <w:rFonts w:hint="eastAsia"/>
        </w:rPr>
        <w:t>持续推进清洁取暖改造，科学优化热源布局，加快推进高质量集中供热和清洁能源替换，实施达赉湖热电公司至满洲里市长距离供热项目，实施小散燃煤热源替代，鼓励采取太阳能+风能多能互补清洁取暖，推进燃煤热源清洁化改造。对已完成清洁取暖改造的依法划定为高污染燃料禁燃区，并制定实施相关配套政策措施，全市城镇清洁取暖率逐年提升。</w:t>
      </w:r>
    </w:p>
    <w:p>
      <w:pPr>
        <w:ind w:firstLine="602" w:firstLineChars="200"/>
      </w:pPr>
      <w:r>
        <w:rPr>
          <w:rFonts w:hint="eastAsia"/>
          <w:b/>
          <w:bCs/>
        </w:rPr>
        <w:t>推进燃煤锅炉污染治理。</w:t>
      </w:r>
      <w:r>
        <w:rPr>
          <w:rFonts w:hint="eastAsia"/>
        </w:rPr>
        <w:t>加大燃煤小锅炉淘汰力度，持续开展供热燃煤锅炉排查，巩固“十三五”期间建成区内10蒸吨/小时燃煤锅炉拆改工作成果。开展重点工业企业和产业园区20蒸吨以上燃煤锅炉达标排放整治。全市新建和具备改造条件的65蒸吨/小时及以上燃煤锅炉基本完成超低排放改造。加快推进燃气锅炉低氮改造。持续强化生物质成型燃料锅炉管控工作。</w:t>
      </w:r>
    </w:p>
    <w:p>
      <w:pPr>
        <w:ind w:firstLine="602" w:firstLineChars="200"/>
      </w:pPr>
      <w:r>
        <w:rPr>
          <w:rFonts w:hint="eastAsia"/>
          <w:b/>
          <w:bCs/>
        </w:rPr>
        <w:t>推进交通运输污染全面治理。</w:t>
      </w:r>
      <w:r>
        <w:rPr>
          <w:rFonts w:hint="eastAsia"/>
        </w:rPr>
        <w:t>积极推进机动车和非道路移动机械排气污染防治，综合采取车辆注销报废、排放检验、尾气提标治理等措施，继续推进老旧车辆淘汰更新。加大非道路移动机械等高污染车辆治理力度。开展新生产机动车、发动机、非道路移动机械监督检查，基本消除未登记或冒黑烟工程机械。加快推进机动车遥感监测网络和监测平台建设，逐步实现超标排放车辆精细化监管、智能化处罚，完善机动车排放检测与强制维护制度（I/M制度）。推进油品持续升级，禁止以化工原料名义出售调和油组分，禁止以化工原料勾兑调和油，严禁运输企业和工矿企业储存、使用非标油，以物流基地、货运车辆停车场和休息区、油品运输车、施工工地等为重点，持续集中打击和清理取缔黑加油站、流动加油车。</w:t>
      </w:r>
    </w:p>
    <w:p>
      <w:pPr>
        <w:ind w:firstLine="602" w:firstLineChars="200"/>
      </w:pPr>
      <w:r>
        <w:rPr>
          <w:rFonts w:hint="eastAsia"/>
          <w:b/>
          <w:bCs/>
        </w:rPr>
        <w:t>推进低空扬尘污染综合防治。</w:t>
      </w:r>
      <w:r>
        <w:rPr>
          <w:rFonts w:hint="eastAsia"/>
        </w:rPr>
        <w:t>建立施工工地管理清单和扬尘控制责任制度，做到工地周边围挡、物料堆放覆盖、土方开挖湿法作业、路面硬化、出入车辆清洗、渣土车辆密闭运输“六个百分之百”。强化城区道路扬尘管控，规范道路清扫保洁作业规程，提高春季清扫频次。加强城市裸露地面、堆场、料场规范化整治，确保扬尘污染防治措施落实到位。加快推进绿色矿山建设，加大露天矿山综合整治力度，强化矿产开采、储存、装卸、运输过程污染防治和减尘抑尘，到2025年底前全部达到绿色矿山标准。全面推进秸秆及农林废弃物资源利用，从源头控制秸秆焚烧，强化各级政府的主体责任，以网格化监管方式，严控农作物秸秆及农林废弃物露天焚烧。</w:t>
      </w:r>
    </w:p>
    <w:p>
      <w:pPr>
        <w:pStyle w:val="4"/>
      </w:pPr>
      <w:bookmarkStart w:id="23" w:name="_Toc123548289"/>
      <w:r>
        <w:rPr>
          <w:rFonts w:hint="eastAsia"/>
        </w:rPr>
        <w:t xml:space="preserve">第三节 </w:t>
      </w:r>
      <w:r>
        <w:t xml:space="preserve"> </w:t>
      </w:r>
      <w:r>
        <w:rPr>
          <w:rFonts w:hint="eastAsia"/>
        </w:rPr>
        <w:t>加强重污染天气应急响应</w:t>
      </w:r>
      <w:bookmarkEnd w:id="23"/>
    </w:p>
    <w:p>
      <w:pPr>
        <w:ind w:firstLine="600" w:firstLineChars="200"/>
      </w:pPr>
      <w:r>
        <w:rPr>
          <w:rFonts w:hint="eastAsia"/>
        </w:rPr>
        <w:t>结合涉气企业治理水平，实行差异化管控，突出精准减排，实现减排全覆盖，制定“一城一案”、各企业制定“一厂一策”，实施清单化管理，完善应急减排信息公开和公众监督渠道。加强预案管理，及时修编重污染天气应急预案，科学制定针对性减排措施，提高重污染天气应对的有效性。</w:t>
      </w:r>
    </w:p>
    <w:p>
      <w:pPr>
        <w:pStyle w:val="4"/>
      </w:pPr>
      <w:bookmarkStart w:id="24" w:name="_Toc123548290"/>
      <w:r>
        <w:rPr>
          <w:rFonts w:hint="eastAsia"/>
        </w:rPr>
        <w:t xml:space="preserve">第四节 </w:t>
      </w:r>
      <w:r>
        <w:t xml:space="preserve"> </w:t>
      </w:r>
      <w:r>
        <w:rPr>
          <w:rFonts w:hint="eastAsia"/>
        </w:rPr>
        <w:t>强化声环境质量管理</w:t>
      </w:r>
      <w:bookmarkEnd w:id="24"/>
    </w:p>
    <w:p>
      <w:pPr>
        <w:ind w:firstLine="600" w:firstLineChars="200"/>
      </w:pPr>
      <w:r>
        <w:rPr>
          <w:rFonts w:hint="eastAsia"/>
        </w:rPr>
        <w:t>优化市域重点城市建成区声环境功能区划，不断强化各类工业园区、工矿企业、交通枢纽、民航机场等噪声源监管，以及机关、学校、幼儿园、医院、宾馆及居民区等声敏感区域的声环境监测。加强施工噪声管理，对噪声源地和声敏感区域，规划建设声屏障、绿化隔离带等阻声设施，持续满足区域声环境功能区管理要求。严厉查处工业企业噪声排放超标扰民行为，为民众创造一个安静、舒适的工作和生活环境。到2025年，环境噪声污染防治能力得到进一步加强，重点源噪声污染排放达到相关目标要求，城市区域环境和道路交通噪声达到功能区标准要求。</w:t>
      </w:r>
    </w:p>
    <w:p>
      <w:pPr>
        <w:pStyle w:val="3"/>
        <w:spacing w:before="408" w:after="204"/>
      </w:pPr>
      <w:bookmarkStart w:id="25" w:name="_Toc123548291"/>
      <w:r>
        <w:rPr>
          <w:rFonts w:hint="eastAsia"/>
        </w:rPr>
        <w:t xml:space="preserve">第六章 </w:t>
      </w:r>
      <w:r>
        <w:t xml:space="preserve"> </w:t>
      </w:r>
      <w:r>
        <w:rPr>
          <w:rFonts w:hint="eastAsia"/>
        </w:rPr>
        <w:t>强化统筹治理，深入推进水生态环境保护</w:t>
      </w:r>
      <w:bookmarkEnd w:id="25"/>
    </w:p>
    <w:p>
      <w:pPr>
        <w:pStyle w:val="4"/>
      </w:pPr>
      <w:bookmarkStart w:id="26" w:name="_Toc123548292"/>
      <w:r>
        <w:rPr>
          <w:rFonts w:hint="eastAsia"/>
        </w:rPr>
        <w:t xml:space="preserve">第一节 </w:t>
      </w:r>
      <w:r>
        <w:t xml:space="preserve"> </w:t>
      </w:r>
      <w:r>
        <w:rPr>
          <w:rFonts w:hint="eastAsia"/>
        </w:rPr>
        <w:t>强化“三水”统筹管理</w:t>
      </w:r>
      <w:bookmarkEnd w:id="26"/>
    </w:p>
    <w:p>
      <w:pPr>
        <w:ind w:firstLine="602" w:firstLineChars="200"/>
      </w:pPr>
      <w:r>
        <w:rPr>
          <w:rFonts w:hint="eastAsia"/>
          <w:b/>
          <w:bCs/>
        </w:rPr>
        <w:t>强化水资源保障。</w:t>
      </w:r>
      <w:r>
        <w:rPr>
          <w:rFonts w:hint="eastAsia"/>
        </w:rPr>
        <w:t>全面落实生态流量管理措施，合理确定二卡湿地等重点河湖、主要控制断面生态流量保障目标，开展已建水利工程生态流量复核，合理安排闸坝下泄流量和泄流时段，保障河湖生态流量。推进水资源和水环境监测数据共享，研究开展生态流量监测。重点抓好源头水保护，加强黑土地水土保持，推进重点水源工程建设，有效维持合理的生态水位和水域面积。</w:t>
      </w:r>
    </w:p>
    <w:p>
      <w:pPr>
        <w:ind w:firstLine="602" w:firstLineChars="200"/>
      </w:pPr>
      <w:r>
        <w:rPr>
          <w:rFonts w:hint="eastAsia"/>
          <w:b/>
          <w:bCs/>
        </w:rPr>
        <w:t>推动重点流域水生态环境改善。</w:t>
      </w:r>
      <w:r>
        <w:rPr>
          <w:rFonts w:hint="eastAsia"/>
        </w:rPr>
        <w:t>实施满洲里市第二水源地，二卡牧场水功能区水环境、水资源、水生态保护与治理。持续加强霍尔津河流域优良水体保护，推进河湖湿地与缓冲带生态恢复和保育，有效保障“好水”水生态系统稳定。梳理劣V类和不达标水体清单，将断面水质目标纳入河湖长制管理，推进河湖“清四乱”常态化、规范化，加大不达标水体专项整治力度。因地制宜恢复建设水生植被，加强土著鱼类、珍稀濒危鱼类及水生生物栖息地保护。建立河湖休养生息长效机制，重点水域实行禁渔期制度，科学实施水生生物增殖放流。</w:t>
      </w:r>
    </w:p>
    <w:p>
      <w:pPr>
        <w:ind w:firstLine="602" w:firstLineChars="200"/>
      </w:pPr>
      <w:r>
        <w:rPr>
          <w:rFonts w:hint="eastAsia"/>
          <w:b/>
          <w:bCs/>
        </w:rPr>
        <w:t>完善水环境监管治理体系。</w:t>
      </w:r>
      <w:r>
        <w:rPr>
          <w:rFonts w:hint="eastAsia"/>
        </w:rPr>
        <w:t>以加强水环境监管治理，保障水环境安全为目标，明晰各级行政区域责任，建立覆盖全市的水生态环境质量空间管控体系。未达到水质目标的地区，依法制定并实施限期达标方案。以排污许可证为抓手，推动“水体断面-入河排污口-排污管线-污染源”全链条管理。推动建设污染治理、循环利用、生态保护有机结合的水环境综合治理体系，在入河排污口下游等关键节点，试点建设人工湿地水质净化等生态设施，对处理达标的尾水和微污染河水进一步净化改善后，作为再生水循环利用，纳入水资源调配管理体系。</w:t>
      </w:r>
    </w:p>
    <w:p>
      <w:pPr>
        <w:pStyle w:val="4"/>
      </w:pPr>
      <w:bookmarkStart w:id="27" w:name="_Toc123548293"/>
      <w:r>
        <w:rPr>
          <w:rFonts w:hint="eastAsia"/>
        </w:rPr>
        <w:t xml:space="preserve">第二节 </w:t>
      </w:r>
      <w:r>
        <w:t xml:space="preserve"> </w:t>
      </w:r>
      <w:r>
        <w:rPr>
          <w:rFonts w:hint="eastAsia"/>
        </w:rPr>
        <w:t>提升水环境安全保障水平</w:t>
      </w:r>
      <w:bookmarkEnd w:id="27"/>
    </w:p>
    <w:p>
      <w:pPr>
        <w:ind w:firstLine="602" w:firstLineChars="200"/>
      </w:pPr>
      <w:r>
        <w:rPr>
          <w:rFonts w:hint="eastAsia"/>
          <w:b/>
          <w:bCs/>
        </w:rPr>
        <w:t>巩固提升饮用水安全保障水平。</w:t>
      </w:r>
      <w:r>
        <w:rPr>
          <w:rFonts w:hint="eastAsia"/>
        </w:rPr>
        <w:t>按照规范化要求建设饮用水水源地，定期开展饮用水水源环境状况调查评估。进一步强化水源地执法监管，保障饮用水水源安全。推进水源地“一源一档”建设。进一步提高水源地风险防控和应急管理能力，组织开展突发环境事件应急演练。受区域水文地质条件限制导致部分指标超标的区域，切实加强供水厂达标运维，强化水源地、供水厂、水龙头水质监测，确保供水水质稳定达标，巩固城市饮用水水源保护与治理成果。到2</w:t>
      </w:r>
      <w:r>
        <w:t>025</w:t>
      </w:r>
      <w:r>
        <w:rPr>
          <w:rFonts w:hint="eastAsia"/>
        </w:rPr>
        <w:t>年，保持集中式饮用水水源水质稳定。</w:t>
      </w:r>
    </w:p>
    <w:p>
      <w:pPr>
        <w:ind w:firstLine="602" w:firstLineChars="200"/>
      </w:pPr>
      <w:r>
        <w:rPr>
          <w:rFonts w:hint="eastAsia"/>
          <w:b/>
          <w:bCs/>
        </w:rPr>
        <w:t>加强黑臭水体防治。</w:t>
      </w:r>
      <w:r>
        <w:rPr>
          <w:rFonts w:hint="eastAsia"/>
        </w:rPr>
        <w:t>全面排查市区城市建成区黑臭水体，系统推进城市黑臭水体防治，开展水质监测，每年进行一次城市黑臭水体整治环境保护专项行动，定期向社会公开黑臭水体治理进展情况。建立健全日常监管长效机制，对涉水企业和经营单位周边等可能形成黑臭水体的风险地区，加强风险隐患排查并建立排查清单，确保全覆盖、无遗漏，对常态化巡查中发现的问题随改随清，动态清零。2022年底前，市区城市完成建成区内黑臭水体排查并制定整治方案，统一公布黑臭水体清单及达标期限。到2025年市区城市建成区范围内持续保持无黑臭水体，扎实保障水环境安全。</w:t>
      </w:r>
    </w:p>
    <w:p>
      <w:pPr>
        <w:pStyle w:val="4"/>
      </w:pPr>
      <w:bookmarkStart w:id="28" w:name="_Toc123548294"/>
      <w:r>
        <w:rPr>
          <w:rFonts w:hint="eastAsia"/>
        </w:rPr>
        <w:t xml:space="preserve">第三节 </w:t>
      </w:r>
      <w:r>
        <w:t xml:space="preserve"> </w:t>
      </w:r>
      <w:r>
        <w:rPr>
          <w:rFonts w:hint="eastAsia"/>
        </w:rPr>
        <w:t>开展“美丽河湖”建设</w:t>
      </w:r>
      <w:bookmarkEnd w:id="28"/>
    </w:p>
    <w:p>
      <w:pPr>
        <w:ind w:firstLine="602" w:firstLineChars="200"/>
      </w:pPr>
      <w:r>
        <w:rPr>
          <w:rFonts w:hint="eastAsia"/>
          <w:b/>
          <w:bCs/>
        </w:rPr>
        <w:t>持续推进重点流域生态保护与环境治理。</w:t>
      </w:r>
      <w:r>
        <w:rPr>
          <w:rFonts w:hint="eastAsia"/>
        </w:rPr>
        <w:t>以新开河、霍尔津河等重要水体为重点，开展源头水保护、河滨带天然湿地修复，加强冷水性鱼类资源保护；以城镇和农田集中分布河段、湖滨为重点，着力加强城镇、园区环境基础设施建设，开展河道综合整治和河（湖）滨带建设工程、大型灌区退水治理等工程。开展中俄界河等国际界河（湖）环境风险管控，排查敏感风险点，对重点源开展实时监测，制定应急预警方案。</w:t>
      </w:r>
    </w:p>
    <w:p>
      <w:pPr>
        <w:ind w:firstLine="602" w:firstLineChars="200"/>
      </w:pPr>
      <w:r>
        <w:rPr>
          <w:rFonts w:hint="eastAsia"/>
          <w:b/>
          <w:bCs/>
        </w:rPr>
        <w:t>积极推动国家“美丽河湖”建设。</w:t>
      </w:r>
      <w:r>
        <w:rPr>
          <w:rFonts w:hint="eastAsia"/>
        </w:rPr>
        <w:t>选择典型流域、河湖，统筹考虑水环境、水生态、水资源，精准识别重点河湖主要问题症结，针对性实施区域水资源调控、水环境治理、生态缓冲带建设、湿地恢复与建设、生物多样性保护等措施，率先实现资源能源高效利用、工业产业绿色发展、河湖湿地生态环境明显改善、土著水生植物或鱼类重现等目标，彰显绿色底色和质量成色。在维护河湖生态功能的基础上，合理建设亲水便民设施，提升公众亲水环境品质，使公众直观感受到河湖之美。制定规划积极申报国家“美丽河湖”。完善美丽河湖长效管理机制，持续推进“美丽河湖”保护与建设。</w:t>
      </w:r>
    </w:p>
    <w:p>
      <w:pPr>
        <w:pStyle w:val="4"/>
      </w:pPr>
      <w:bookmarkStart w:id="29" w:name="_Toc123548295"/>
      <w:r>
        <w:rPr>
          <w:rFonts w:hint="eastAsia"/>
        </w:rPr>
        <w:t xml:space="preserve">第四节 </w:t>
      </w:r>
      <w:r>
        <w:t xml:space="preserve"> </w:t>
      </w:r>
      <w:r>
        <w:rPr>
          <w:rFonts w:hint="eastAsia"/>
        </w:rPr>
        <w:t>深化“多源”同治</w:t>
      </w:r>
      <w:bookmarkEnd w:id="29"/>
    </w:p>
    <w:p>
      <w:pPr>
        <w:ind w:firstLine="602" w:firstLineChars="200"/>
      </w:pPr>
      <w:r>
        <w:rPr>
          <w:rFonts w:hint="eastAsia"/>
          <w:b/>
          <w:bCs/>
        </w:rPr>
        <w:t>实施入河排污口分类整治。</w:t>
      </w:r>
      <w:r>
        <w:rPr>
          <w:rFonts w:hint="eastAsia"/>
        </w:rPr>
        <w:t>2025年底前，完成重点流域入河排污口排查，基本完成重点流域干流及重要支流、重点湖泊排污整治。实现“一口一档”排污口信息台账规范管理。</w:t>
      </w:r>
    </w:p>
    <w:p>
      <w:pPr>
        <w:ind w:firstLine="602" w:firstLineChars="200"/>
      </w:pPr>
      <w:r>
        <w:rPr>
          <w:rFonts w:hint="eastAsia"/>
          <w:b/>
          <w:bCs/>
        </w:rPr>
        <w:t>加强城镇污水收集处理。</w:t>
      </w:r>
      <w:r>
        <w:rPr>
          <w:rFonts w:hint="eastAsia"/>
        </w:rPr>
        <w:t>加快补齐城镇污水处理厂、网建设及运行短板，推进城镇污水管网全覆盖，对进水明显异常的污水处理厂开展片区管网系统化整治。实施雨污分流改造，杜绝污水直接排入雨水管网加快推进海绵城市建设。到2025年，实现中心城区污水全收集、全处理。鼓励城市开展初期雨水收集处理体系建设，建设人工湿地水质净化工程，对处理达标后的尾水进一步净化。持续做好城镇污水处理厂建设和改造，强化达标监管。到2025年，城镇污水处理设施能力基本满足生活污水处理需求，全市城镇污水集中处理率达到98.4%。继续加大再生水回用管网建设力度，提高再生水回用率。积极推进污泥无害化处置和资源化利用，形成可持续的污泥利用和消纳模式，到2025年，城市污泥无害化处置率达到90%以上。禁止处理处置不达标的污泥进入耕地。</w:t>
      </w:r>
    </w:p>
    <w:p>
      <w:pPr>
        <w:ind w:firstLine="602" w:firstLineChars="200"/>
      </w:pPr>
      <w:r>
        <w:rPr>
          <w:rFonts w:hint="eastAsia"/>
          <w:b/>
          <w:bCs/>
        </w:rPr>
        <w:t>推进重点行业污染防治。</w:t>
      </w:r>
      <w:r>
        <w:rPr>
          <w:rFonts w:hint="eastAsia"/>
        </w:rPr>
        <w:t>加快推进流域产业布局调整升级，推动重点行业、重点区域绿色发展，加大对化工、食品加工等行业污染治理力度。推进淀粉、肉类加工企业等清洁化改造，推进行业节水，新、改扩建项目优先利用污水处理厂再生水。继续推进工业园区污水集中处理，开展自治区级及以上工业园区依托城镇污水处理厂综合评估，加强对工业园区污水集中处理配套设施建设及运行管控，确保园区内企业污水全收集、全处理、稳定达标，加大再生水回用力度。</w:t>
      </w:r>
    </w:p>
    <w:p>
      <w:pPr>
        <w:pStyle w:val="3"/>
        <w:spacing w:before="408" w:after="204"/>
      </w:pPr>
      <w:bookmarkStart w:id="30" w:name="_Toc123548296"/>
      <w:r>
        <w:rPr>
          <w:rFonts w:hint="eastAsia"/>
        </w:rPr>
        <w:t xml:space="preserve">第七章 </w:t>
      </w:r>
      <w:r>
        <w:t xml:space="preserve"> </w:t>
      </w:r>
      <w:r>
        <w:rPr>
          <w:rFonts w:hint="eastAsia"/>
        </w:rPr>
        <w:t>加强系统防控，改善土壤环境治理</w:t>
      </w:r>
      <w:bookmarkEnd w:id="30"/>
    </w:p>
    <w:p>
      <w:pPr>
        <w:pStyle w:val="4"/>
      </w:pPr>
      <w:bookmarkStart w:id="31" w:name="_Toc123548297"/>
      <w:r>
        <w:rPr>
          <w:rFonts w:hint="eastAsia"/>
        </w:rPr>
        <w:t xml:space="preserve">第一节 </w:t>
      </w:r>
      <w:r>
        <w:t xml:space="preserve"> </w:t>
      </w:r>
      <w:r>
        <w:rPr>
          <w:rFonts w:hint="eastAsia"/>
        </w:rPr>
        <w:t>加强土壤生态环境保护</w:t>
      </w:r>
      <w:bookmarkEnd w:id="31"/>
    </w:p>
    <w:p>
      <w:pPr>
        <w:ind w:firstLine="602" w:firstLineChars="200"/>
      </w:pPr>
      <w:r>
        <w:rPr>
          <w:rFonts w:hint="eastAsia"/>
          <w:b/>
          <w:bCs/>
        </w:rPr>
        <w:t>扎实推进土壤环境风险分区管控。</w:t>
      </w:r>
      <w:r>
        <w:rPr>
          <w:rFonts w:hint="eastAsia"/>
        </w:rPr>
        <w:t>加强土壤生态环境风险分区管理，对安全利用类和严格管控类耕地、疑似污染地块、污染地块开展土壤污染状况调查，建设土壤环境质量监测网络和土壤环境基础数据库，提升土壤环境信息化管理水平，重点监测土壤中铅、镉、汞、铬、砷类金属等重金属污染物，以及多环芳烃、石油烃等有机污染物监测，根据调查结果对风险管控和修复效果进行评估。对划为优先保护类的农用地，实行严格保护，确保面积不减少、质量不下降。划为一般管控区的其他区域，执行区域生态环境保护的基本要求。整体推进土壤环境污染源头治理。全面排查并整治历史遗留无序堆存涉重固体废物，有效切断污染物进入农田途径。</w:t>
      </w:r>
    </w:p>
    <w:p>
      <w:pPr>
        <w:ind w:firstLine="602" w:firstLineChars="200"/>
      </w:pPr>
      <w:r>
        <w:rPr>
          <w:rFonts w:hint="eastAsia"/>
          <w:b/>
          <w:bCs/>
        </w:rPr>
        <w:t>强化土壤重点监管行业环境监管。</w:t>
      </w:r>
      <w:r>
        <w:rPr>
          <w:rFonts w:hint="eastAsia"/>
        </w:rPr>
        <w:t>鼓励土壤污染重点监管单 位因地制宜实施管道化、密闭化及防腐防渗改造，以及物料、污水、废气管线架空建设和改造，从源头上消除土壤污染。对化工、冶金、矿山采掘等可能对土壤环境产生影响的建设项目，严格土壤环境影响评价。根据典型行业有毒有害物质排放、腾退地块土壤污染情况，动态更新重点监管单位名录。对土壤污染重点监管企业定期开展周边土壤和地下水监督性监测，督促企业定期开展土壤及地下水自行监测、污染隐患排查，到2025年底，至少完成一次土壤和地下水污染隐患排查，建立台账并制定整治方案。</w:t>
      </w:r>
    </w:p>
    <w:p>
      <w:pPr>
        <w:ind w:firstLine="602" w:firstLineChars="200"/>
      </w:pPr>
      <w:r>
        <w:rPr>
          <w:rFonts w:hint="eastAsia"/>
          <w:b/>
          <w:bCs/>
        </w:rPr>
        <w:t>持续推进农用地分类管理和安全利用。</w:t>
      </w:r>
      <w:r>
        <w:rPr>
          <w:rFonts w:hint="eastAsia"/>
        </w:rPr>
        <w:t>对于严格管控类耕地，综合考虑土壤类型、程度，农产品超标情况、种植习惯等因素，以种植结构调整、治理修复为主。到2025年全市继续保持耕地地块零污染。</w:t>
      </w:r>
    </w:p>
    <w:p>
      <w:pPr>
        <w:ind w:firstLine="602" w:firstLineChars="200"/>
      </w:pPr>
      <w:r>
        <w:rPr>
          <w:rFonts w:hint="eastAsia"/>
          <w:b/>
          <w:bCs/>
        </w:rPr>
        <w:t>有序推进建设用地风险管控和治理修复。</w:t>
      </w:r>
      <w:r>
        <w:rPr>
          <w:rFonts w:hint="eastAsia"/>
        </w:rPr>
        <w:t>在建设用地实施土壤污染风险管控和修复名录制度，建立污染地块名录及其开发利用负面清单，以变更为住宅、公共管理和公共服务用地的地块，以及腾退工矿企业用地为重点，依法开展土壤污染状况调查和风险评估，严格用地准入，合理确定开发和使用时序，强化部门信息共享和联动监管。合理规划土地用途，在编制国土空间规划等相关规划时，应充分考虑土壤污染环境风险，合理确定土地用途。对需要实施治理与修复的污染地块，推广绿色修复理念，防止施工过程对地块及周边环境造成二次污染。协同土壤和地下水污染风险管控和修复，健全后期管理机制。</w:t>
      </w:r>
    </w:p>
    <w:p>
      <w:pPr>
        <w:pStyle w:val="4"/>
      </w:pPr>
      <w:bookmarkStart w:id="32" w:name="_Toc123548298"/>
      <w:r>
        <w:rPr>
          <w:rFonts w:hint="eastAsia"/>
        </w:rPr>
        <w:t xml:space="preserve">第二节 </w:t>
      </w:r>
      <w:r>
        <w:t xml:space="preserve"> </w:t>
      </w:r>
      <w:r>
        <w:rPr>
          <w:rFonts w:hint="eastAsia"/>
        </w:rPr>
        <w:t>推进地下水生态环境保护</w:t>
      </w:r>
      <w:bookmarkEnd w:id="32"/>
    </w:p>
    <w:p>
      <w:pPr>
        <w:ind w:firstLine="602" w:firstLineChars="200"/>
      </w:pPr>
      <w:r>
        <w:rPr>
          <w:rFonts w:hint="eastAsia"/>
          <w:b/>
          <w:bCs/>
        </w:rPr>
        <w:t>开展地下水环境调查评估。</w:t>
      </w:r>
      <w:r>
        <w:rPr>
          <w:rFonts w:hint="eastAsia"/>
        </w:rPr>
        <w:t>全面开展地下水“双源”环境状况调查评估，对全市“矿山企业、褐煤开采、石油开采、化工企业、危险废物处置、生活垃圾填埋场、地下水型饮用水水源地、化工园区等”重点行业企业所在地及周边地下水环境质量状况进行摸底调查，全面掌握全市地下水环境基础状况。</w:t>
      </w:r>
    </w:p>
    <w:p>
      <w:pPr>
        <w:ind w:firstLine="602" w:firstLineChars="200"/>
      </w:pPr>
      <w:r>
        <w:rPr>
          <w:rFonts w:hint="eastAsia"/>
          <w:b/>
          <w:bCs/>
        </w:rPr>
        <w:t>加强地下水污染协同防治。</w:t>
      </w:r>
      <w:r>
        <w:rPr>
          <w:rFonts w:hint="eastAsia"/>
        </w:rPr>
        <w:t>强化土壤和地下水污染协同防治，对可能影响地下水污染的建设用地地块，制定污染防治方案、污染状况调查、风险管控措施、治理修复方案，突出协同防治。强化地下水污染风险防控，对高风险的化工生产企业以及工业集聚区、危险废物处置场、垃圾填埋场等区域开展必要的防渗处理，防止持续污染地下水。实施报废矿井、钻井、取水井封井回填，强化示范评估。</w:t>
      </w:r>
    </w:p>
    <w:p>
      <w:pPr>
        <w:pStyle w:val="3"/>
        <w:spacing w:before="408" w:after="204"/>
      </w:pPr>
      <w:bookmarkStart w:id="33" w:name="_Toc123548299"/>
      <w:r>
        <w:rPr>
          <w:rFonts w:hint="eastAsia"/>
        </w:rPr>
        <w:t xml:space="preserve">第八章 </w:t>
      </w:r>
      <w:r>
        <w:t xml:space="preserve"> </w:t>
      </w:r>
      <w:r>
        <w:rPr>
          <w:rFonts w:hint="eastAsia"/>
        </w:rPr>
        <w:t>加强生态保护监管，筑牢北方生态安全屏障</w:t>
      </w:r>
      <w:bookmarkEnd w:id="33"/>
    </w:p>
    <w:p>
      <w:pPr>
        <w:pStyle w:val="4"/>
      </w:pPr>
      <w:bookmarkStart w:id="34" w:name="_Toc123548300"/>
      <w:r>
        <w:rPr>
          <w:rFonts w:hint="eastAsia"/>
        </w:rPr>
        <w:t xml:space="preserve">第一节 </w:t>
      </w:r>
      <w:r>
        <w:t xml:space="preserve"> </w:t>
      </w:r>
      <w:r>
        <w:rPr>
          <w:rFonts w:hint="eastAsia"/>
        </w:rPr>
        <w:t>加强自然保护地和生态保护红线监管</w:t>
      </w:r>
      <w:bookmarkEnd w:id="34"/>
    </w:p>
    <w:p>
      <w:pPr>
        <w:ind w:firstLine="602" w:firstLineChars="200"/>
      </w:pPr>
      <w:r>
        <w:rPr>
          <w:rFonts w:hint="eastAsia"/>
          <w:b/>
          <w:bCs/>
        </w:rPr>
        <w:t>严守生态保护红线。</w:t>
      </w:r>
      <w:r>
        <w:rPr>
          <w:rFonts w:hint="eastAsia"/>
        </w:rPr>
        <w:t>推进精细化空间管控，严禁不符合主体功能定位的各类开发活动，进一步推动违法违规侵占生态空间的行为退出和修复。将生态保护红线作为维持全市生态功能的底线，确保生态功能不降低、面积不减少、性质不改变，有效保护重要生态功能区域、重要生态系统及主要物种，提高全市生态产品供给能力。</w:t>
      </w:r>
    </w:p>
    <w:p>
      <w:pPr>
        <w:ind w:firstLine="602" w:firstLineChars="200"/>
      </w:pPr>
      <w:r>
        <w:rPr>
          <w:rFonts w:hint="eastAsia"/>
          <w:b/>
          <w:bCs/>
        </w:rPr>
        <w:t>开展生态保护红线监管。</w:t>
      </w:r>
      <w:r>
        <w:rPr>
          <w:rFonts w:hint="eastAsia"/>
        </w:rPr>
        <w:t>对生态保护红线保护成效进行评价考核，及时发现和依法处罚破坏生态保护红线的违法行为，切实做到有案必查、违法必究。</w:t>
      </w:r>
    </w:p>
    <w:p>
      <w:pPr>
        <w:ind w:firstLine="602" w:firstLineChars="200"/>
      </w:pPr>
      <w:r>
        <w:rPr>
          <w:rFonts w:hint="eastAsia"/>
          <w:b/>
          <w:bCs/>
        </w:rPr>
        <w:t>加强自然保护地体系管理。</w:t>
      </w:r>
      <w:r>
        <w:rPr>
          <w:rFonts w:hint="eastAsia"/>
        </w:rPr>
        <w:t>推进以自然保护区为主体，各类自然公园为补充的自然保护地体系建设。加强自然保护地管理，科学划定自然保护地类型、范围及功能分区，加快完成各类自然保护地整合归并优化及勘界立标，制定完善各级各类自然保护地整体规划。实地核查自然保护地人类活动遥感监测问题线索并监督处理整改。持续推进“绿盾”自然保护地强化监督，严格落实自然保护地生态环境问题台账管理、跟踪监督、整改销号制度。严格管控自然保护地范围内非生态活动，分类有序解决自然保护地内历史遗留问题。依法实施自然保护区内矿业权有序退出后续工作。开展自然保护地保护成效评估。</w:t>
      </w:r>
    </w:p>
    <w:p>
      <w:pPr>
        <w:pStyle w:val="4"/>
      </w:pPr>
      <w:bookmarkStart w:id="35" w:name="_Toc123548301"/>
      <w:r>
        <w:rPr>
          <w:rFonts w:hint="eastAsia"/>
        </w:rPr>
        <w:t xml:space="preserve">第二节 </w:t>
      </w:r>
      <w:r>
        <w:t xml:space="preserve"> </w:t>
      </w:r>
      <w:r>
        <w:rPr>
          <w:rFonts w:hint="eastAsia"/>
        </w:rPr>
        <w:t>加强生物多样性保护</w:t>
      </w:r>
      <w:bookmarkEnd w:id="35"/>
    </w:p>
    <w:p>
      <w:pPr>
        <w:ind w:firstLine="600" w:firstLineChars="200"/>
      </w:pPr>
      <w:r>
        <w:rPr>
          <w:rFonts w:hint="eastAsia"/>
        </w:rPr>
        <w:t>落实草原保护制度。严格执行基本草原保护、禁牧休牧和草畜平衡制度，建立和完善草原生态补偿长效机制；加强动植物疫情和外来入侵物种口岸防控，强化对外来物种入侵的管理和检测工作，保护草原生物多样性；严禁在草原上乱采滥挖、新上矿产资源开发等工业项目，已批准在建运营的矿山、风电、光伏等项目到期退出，新建风电、光伏电站重点布局在采煤沉陷区、露天矿排土场，推广“光伏+生态治理”基地建设模式。加强草原生态系统的保护与恢复治理。坚持“宜林则林、宜草则草，分步实施、量力而行”，争创退化草原生态修复国家试点，在草原退化严重地区，进行草地牧草播种、人工种草、种子、种苗，防止沙化扩张；加强野生植物保护，严禁采挖收购运输草原野生药用植物，加大古树名木保护力度。全面禁止非法野生动物交易。全面禁止食用国家保护的“有重要生态、科学、社会价值的陆生野生动物”以及其他陆生野生动物，包括人工繁育、人工饲养的陆生野生动物，全面禁止以食用为目的猎捕、交易、运输在野外环境自然生长繁殖的陆生野生动物，革除滥食野生动物陋习；因科研、药用、展示等特殊情况，需要对野生动物进行非食用性利用的，应当按照国家有关规定实行严格审批和检疫检验。发展绿色生态产业。加强天然草原生态保护，发展优质人工草地和饲草产业，按照以草定畜的原则科学核定草原载畜量，合理规划建设高产饲料地、网围栏，禁绝过载放牧，适度发展草原牧场观光旅游、休闲度假旅游、家庭畜牧业等绿色生态产业。</w:t>
      </w:r>
    </w:p>
    <w:p>
      <w:pPr>
        <w:pStyle w:val="4"/>
      </w:pPr>
      <w:bookmarkStart w:id="36" w:name="_Toc123548302"/>
      <w:r>
        <w:rPr>
          <w:rFonts w:hint="eastAsia"/>
        </w:rPr>
        <w:t xml:space="preserve">第三节 </w:t>
      </w:r>
      <w:r>
        <w:t xml:space="preserve"> </w:t>
      </w:r>
      <w:r>
        <w:rPr>
          <w:rFonts w:hint="eastAsia"/>
        </w:rPr>
        <w:t>推进生态系统保护修复</w:t>
      </w:r>
      <w:bookmarkEnd w:id="36"/>
    </w:p>
    <w:p>
      <w:pPr>
        <w:ind w:firstLine="602" w:firstLineChars="200"/>
      </w:pPr>
      <w:r>
        <w:rPr>
          <w:rFonts w:hint="eastAsia"/>
          <w:b/>
          <w:bCs/>
        </w:rPr>
        <w:t>统筹推进山水林田湖草沙系统治理。</w:t>
      </w:r>
      <w:r>
        <w:rPr>
          <w:rFonts w:hint="eastAsia"/>
        </w:rPr>
        <w:t>科学开展国土绿化行动，持续实施天然林资源保护、公益林保护、森林质量精准提升等工程。落实禁牧休牧、草畜平衡和基本草原保护制度，开展草原生态系统健康评价，深化草原生态保护补奖机制，实施草原保护与修复重大工程。加大草原生态监管力度，严禁在草原上乱采滥挖、新上矿产资源开发等工业项目，已批准在建运营的矿山、风电、光伏等项目到期退出。到2025年，全市草原退化沙化趋势总体得到遏制，草原综合植被盖度稳定在</w:t>
      </w:r>
      <w:r>
        <w:t>23.5</w:t>
      </w:r>
      <w:r>
        <w:rPr>
          <w:rFonts w:hint="eastAsia"/>
        </w:rPr>
        <w:t>%以上。二卡国家湿地公园、霍勒金布拉格国家湿地公园基础设施建设项目，新开河、乌日根河、霍尔津河等综合治理和生态修复工程。对已经治理的沙化土地加强保护。加快建设锁边防风固沙体系和防风防沙生态林带，强化封沙育林育草、网格固沙障建设，通过恢复沙地樟子松、实施植苗造林、灌草混播治理、高立式沙障治理、沙化土地封禁保护等方式恢复原生植被，增强防风固沙、水土保持、维护生物多样性等功能。到2025年，实现流动沙地和半固定沙地得到有效控制，沙区物种多样性有所增加。加大矿山生态恢复治理力度，有序推进闭坑、政策性关闭、历史遗留、责任主体灭失矿山环境综合治理，加快露天矿生态修复及采空区灾害治理，着力推进绿色矿山建设，到2025年，全部矿山达到国家或自治区级绿色矿山建设标准，不符合绿色矿山标准的逐步退出市场。</w:t>
      </w:r>
    </w:p>
    <w:p>
      <w:pPr>
        <w:ind w:firstLine="602" w:firstLineChars="200"/>
      </w:pPr>
      <w:r>
        <w:rPr>
          <w:rFonts w:hint="eastAsia"/>
          <w:b/>
          <w:bCs/>
        </w:rPr>
        <w:t>开展生态保护修复成效评估。</w:t>
      </w:r>
      <w:r>
        <w:rPr>
          <w:rFonts w:hint="eastAsia"/>
        </w:rPr>
        <w:t>开展重要生态系统保护修复工程实施成效评估，定期组织开展生态保护修复工程实施成效自评估，监督工程实施主体在生态保护修复过程中，开展生态质量、环境质量变化情况监测。加强评估成果综合应用，将生态状况调查评估结果作为生态补偿和生态保护修复治理专项资金配置的依据。</w:t>
      </w:r>
    </w:p>
    <w:p>
      <w:pPr>
        <w:pStyle w:val="4"/>
      </w:pPr>
      <w:bookmarkStart w:id="37" w:name="_Toc123548303"/>
      <w:r>
        <w:rPr>
          <w:rFonts w:hint="eastAsia"/>
        </w:rPr>
        <w:t xml:space="preserve">第四节 </w:t>
      </w:r>
      <w:r>
        <w:t xml:space="preserve"> </w:t>
      </w:r>
      <w:r>
        <w:rPr>
          <w:rFonts w:hint="eastAsia"/>
        </w:rPr>
        <w:t>建立健全生态产品价值实现机制</w:t>
      </w:r>
      <w:bookmarkEnd w:id="37"/>
    </w:p>
    <w:p>
      <w:pPr>
        <w:ind w:firstLine="600" w:firstLineChars="200"/>
      </w:pPr>
      <w:r>
        <w:rPr>
          <w:rFonts w:hint="eastAsia"/>
        </w:rPr>
        <w:t>积极争取列入国家和自治区生态产品价值实现机制试点，在生态产品价值核算、供需精准对接、可持续经营开发、保护补偿等方面开展积极探索。落实自然资源资产产权制度，完善生态产品调查监测机制，对森林、草原、农田、荒地、河湖、湿地、矿产等自然生态空间和自然资源资产进行确权登记，持续推进编制自然资源资产负债表。建立生态产品价值评价体系，深入推进生态产品价值核算，延伸拓展生态产品价值核算结果在生态保护补偿、生态环境损害赔偿、经营开发融资、生态资源权益交易等方面的应用。积极发展绿色金融，探索发展生态产品价值实现金融服务体系。促进生态产品供需精准对接，探索推动生态资源权益交易，结合国家、自治区和呼伦贝尔市有关部署，探索开展用能权、碳排放权、排污权、水权交易和气候生态价值评估等。重点推进碳汇开发，加强与国家碳市场、碳排放权交易、CCER（国家核证自愿减排标准）等政策对接，批次开展CCER造林和森林经营项目储备，实现绿色生态资源可变现可交易。</w:t>
      </w:r>
    </w:p>
    <w:p>
      <w:pPr>
        <w:pStyle w:val="3"/>
        <w:spacing w:before="408" w:after="204"/>
      </w:pPr>
      <w:bookmarkStart w:id="38" w:name="_Toc123548304"/>
      <w:r>
        <w:rPr>
          <w:rFonts w:hint="eastAsia"/>
        </w:rPr>
        <w:t xml:space="preserve">第九章 </w:t>
      </w:r>
      <w:r>
        <w:t xml:space="preserve"> </w:t>
      </w:r>
      <w:r>
        <w:rPr>
          <w:rFonts w:hint="eastAsia"/>
        </w:rPr>
        <w:t>强化风险防控，有效防范环境风险</w:t>
      </w:r>
      <w:bookmarkEnd w:id="38"/>
    </w:p>
    <w:p>
      <w:pPr>
        <w:pStyle w:val="4"/>
      </w:pPr>
      <w:bookmarkStart w:id="39" w:name="_Toc123548305"/>
      <w:r>
        <w:rPr>
          <w:rFonts w:hint="eastAsia"/>
        </w:rPr>
        <w:t xml:space="preserve">第一节 </w:t>
      </w:r>
      <w:r>
        <w:t xml:space="preserve"> </w:t>
      </w:r>
      <w:r>
        <w:rPr>
          <w:rFonts w:hint="eastAsia"/>
        </w:rPr>
        <w:t>强化核与辐射环境安全监管</w:t>
      </w:r>
      <w:bookmarkEnd w:id="39"/>
    </w:p>
    <w:p>
      <w:pPr>
        <w:ind w:firstLine="600" w:firstLineChars="200"/>
      </w:pPr>
      <w:r>
        <w:rPr>
          <w:rFonts w:hint="eastAsia"/>
        </w:rPr>
        <w:t>健全核与辐射安全管理体系。开展核与辐射隐患排查。加强放射源全程信息化管理。加快核与辐射事故应急预案修订，积极组织核与辐射事故应急演练，提升应急处置能力。强化核与辐射环境监测能力建设。电磁辐射设施建设项目严格执行环境影响评价和“三同时”制度。推进电磁辐射建设项目的规范化管理，逐步推广“绿色基站”“绿色变电站”建设。</w:t>
      </w:r>
      <w:bookmarkStart w:id="40" w:name="_Toc123548306"/>
      <w:r>
        <w:t>在城区内定期对环境电磁辐射进行例行监测；定期对市区内重点电磁设施进行适时监督监测。</w:t>
      </w:r>
    </w:p>
    <w:p>
      <w:pPr>
        <w:ind w:firstLine="642" w:firstLineChars="200"/>
        <w:jc w:val="center"/>
        <w:rPr>
          <w:rFonts w:ascii="微软雅黑" w:hAnsi="微软雅黑" w:eastAsia="微软雅黑"/>
          <w:b/>
          <w:bCs/>
          <w:sz w:val="32"/>
          <w:szCs w:val="32"/>
        </w:rPr>
      </w:pPr>
      <w:r>
        <w:rPr>
          <w:rFonts w:hint="eastAsia" w:ascii="微软雅黑" w:hAnsi="微软雅黑" w:eastAsia="微软雅黑"/>
          <w:b/>
          <w:bCs/>
          <w:sz w:val="32"/>
          <w:szCs w:val="32"/>
        </w:rPr>
        <w:t xml:space="preserve">第二节 </w:t>
      </w:r>
      <w:r>
        <w:rPr>
          <w:rFonts w:ascii="微软雅黑" w:hAnsi="微软雅黑" w:eastAsia="微软雅黑"/>
          <w:b/>
          <w:bCs/>
          <w:sz w:val="32"/>
          <w:szCs w:val="32"/>
        </w:rPr>
        <w:t xml:space="preserve"> </w:t>
      </w:r>
      <w:r>
        <w:rPr>
          <w:rFonts w:hint="eastAsia" w:ascii="微软雅黑" w:hAnsi="微软雅黑" w:eastAsia="微软雅黑"/>
          <w:b/>
          <w:bCs/>
          <w:sz w:val="32"/>
          <w:szCs w:val="32"/>
        </w:rPr>
        <w:t>提升危险废物处理处置及监管能力</w:t>
      </w:r>
      <w:bookmarkEnd w:id="40"/>
    </w:p>
    <w:p>
      <w:pPr>
        <w:pStyle w:val="5"/>
        <w:ind w:firstLine="602"/>
      </w:pPr>
      <w:r>
        <w:rPr>
          <w:rFonts w:hint="eastAsia"/>
          <w:b/>
          <w:bCs/>
        </w:rPr>
        <w:t>提高危险废物利用处置和监管能力。</w:t>
      </w:r>
      <w:r>
        <w:rPr>
          <w:rFonts w:hint="eastAsia"/>
        </w:rPr>
        <w:t>提升危险废物环境监管能力，促进利用处置设施合理布局，实现利用处置能力与产废情况总体匹配。支持以医疗废物、废矿物油、废铅蓄电池为重点的危险废物收集、处置设施。完善危险废物全过程动态环境监管体系，提升固体废物信息化监管能力和水平，有序推进危险废物全过程监控和信息化追溯。强化废弃危险化学品及持久性有机污染物的环境监管，实施环境激素类、高危害、高风险化学品淘汰、限制、替代等措施。深入推进危险废物规范化管理，完善危险废物环境重点监管单位清单，及时整改前期环境风险排查整治发现的难点问题。开展危险废物专项整治，严厉打击“洋垃圾”走私入境和危险废物非法转移倾倒等违法犯罪行为，积极推行环境污染第三方治理，建立健全“污染者付费+第三方治理”等机制。到2025年，持续保持危险废物处置率达100%。</w:t>
      </w:r>
    </w:p>
    <w:p>
      <w:pPr>
        <w:pStyle w:val="5"/>
        <w:ind w:firstLine="602"/>
      </w:pPr>
      <w:r>
        <w:rPr>
          <w:rFonts w:hint="eastAsia"/>
          <w:b/>
          <w:bCs/>
        </w:rPr>
        <w:t>推动医疗废物处理处置体系建设。</w:t>
      </w:r>
      <w:r>
        <w:rPr>
          <w:rFonts w:hint="eastAsia"/>
        </w:rPr>
        <w:t>完善健全市区医疗废弃物收集转运处置体系，对难以稳定运行的处置设施实施升级改造。加强医疗废物全过程管理，形成多部门共同参与的联防联控机制，健全医疗废物应急处置响应机制、完善处置物资储备体系、建立协同应急处置设施清单，做好突发疫情医疗废物应急处置能力和设施的储备与建设工作。到2025年，持续保持全市医疗废物全部实现无害化处置。</w:t>
      </w:r>
    </w:p>
    <w:p>
      <w:pPr>
        <w:pStyle w:val="4"/>
      </w:pPr>
      <w:bookmarkStart w:id="41" w:name="_Toc123548307"/>
      <w:r>
        <w:rPr>
          <w:rFonts w:hint="eastAsia"/>
        </w:rPr>
        <w:t xml:space="preserve">第三节 </w:t>
      </w:r>
      <w:r>
        <w:t xml:space="preserve"> </w:t>
      </w:r>
      <w:r>
        <w:rPr>
          <w:rFonts w:hint="eastAsia"/>
        </w:rPr>
        <w:t>强化重金属污染防治</w:t>
      </w:r>
      <w:bookmarkEnd w:id="41"/>
    </w:p>
    <w:p>
      <w:pPr>
        <w:ind w:firstLine="602" w:firstLineChars="200"/>
      </w:pPr>
      <w:r>
        <w:rPr>
          <w:rFonts w:hint="eastAsia"/>
          <w:b/>
          <w:bCs/>
        </w:rPr>
        <w:t>控制重金属污染物排放总量。</w:t>
      </w:r>
      <w:r>
        <w:rPr>
          <w:rFonts w:hint="eastAsia"/>
        </w:rPr>
        <w:t>严格重点区域涉重金属建设项目环境准入，持续减少重金属污染物排放。涉重金属污染物排放企业执行强制性清洁生产审核，新建重金属污染物排放企业清洁生产相关指标执行特别排放限值。聚焦铅、汞、镉、铬、砷等重金属污染物，深入推进重点河流湖库、水源地、农田等环境敏感区域周边涉重金属企业污染治理。加强涉重产业转移承接地行业环境管理，加强涉重行业企业与重金属历史遗留问题地区环境质量监测体系建设，完善污染防治措施和环境风险应急预案，强化重点区域、重点行业重金属污染监控预警。</w:t>
      </w:r>
    </w:p>
    <w:p>
      <w:pPr>
        <w:ind w:firstLine="602" w:firstLineChars="200"/>
      </w:pPr>
      <w:r>
        <w:rPr>
          <w:rFonts w:hint="eastAsia"/>
          <w:b/>
          <w:bCs/>
        </w:rPr>
        <w:t>加强渣场污染综合治理。</w:t>
      </w:r>
      <w:r>
        <w:rPr>
          <w:rFonts w:hint="eastAsia"/>
        </w:rPr>
        <w:t>开展采矿废石堆场等环境风险隐患排查，实施“一场一策”分类分级整治。严格新建（改、扩）各类渣场环境准入，严控新增环境污染风险，持续推进实施绿色矿山建设，推进环境风险隐患排查整治。</w:t>
      </w:r>
    </w:p>
    <w:p>
      <w:pPr>
        <w:pStyle w:val="4"/>
      </w:pPr>
      <w:bookmarkStart w:id="42" w:name="_Toc123548308"/>
      <w:r>
        <w:rPr>
          <w:rFonts w:hint="eastAsia"/>
        </w:rPr>
        <w:t xml:space="preserve">第四节 </w:t>
      </w:r>
      <w:r>
        <w:t xml:space="preserve"> </w:t>
      </w:r>
      <w:r>
        <w:rPr>
          <w:rFonts w:hint="eastAsia"/>
        </w:rPr>
        <w:t>推进其他固体废物利用处置</w:t>
      </w:r>
      <w:bookmarkEnd w:id="42"/>
    </w:p>
    <w:p>
      <w:pPr>
        <w:ind w:firstLine="602" w:firstLineChars="200"/>
      </w:pPr>
      <w:r>
        <w:rPr>
          <w:rFonts w:hint="eastAsia"/>
          <w:b/>
          <w:bCs/>
        </w:rPr>
        <w:t>推进固废利用处置。</w:t>
      </w:r>
      <w:r>
        <w:rPr>
          <w:rFonts w:hint="eastAsia"/>
        </w:rPr>
        <w:t>促进主要农业废弃物全量利用。完善和落实有关鼓励固体废物综合利用和处置的优惠政策。以煤矸石、粉煤灰、建筑垃圾等为重点，建设综合利用示范，到2025年，支持煤矸石、粉煤灰、矿山废石、尾矿充填或回填采空区和矿坑，鼓励利用矿区露天采空区处置一般工业固体废物。优先选用尾矿、粉煤灰作为城市建设、铁路和公路建设等建筑、筑路材料。鼓励利用研石、粉煤灰等生产新型墙体材料、装饰装修材料等绿色建材。到2025年，工业固废综合利用率达到60%以上。加强生活垃圾污染治理，提高城市生活垃圾处理减量化、资源化和无害化水平，实现城镇垃圾处理设施全覆盖。鼓励群众对生活垃圾实施分类，继续开展城乡生活垃圾分类收集和处理试点。提高垃圾分类收运能力和水平，全面推进焚烧处理能力建设。加强垃圾渗滤液处理，对旧的垃圾堆放场和服务期满要封场的填埋场按照规范要求进行治理。加强城市低值废弃物资源化利用。</w:t>
      </w:r>
    </w:p>
    <w:p>
      <w:pPr>
        <w:ind w:firstLine="602" w:firstLineChars="200"/>
      </w:pPr>
      <w:r>
        <w:rPr>
          <w:rFonts w:hint="eastAsia"/>
          <w:b/>
          <w:bCs/>
        </w:rPr>
        <w:t>加强塑料污染治理。</w:t>
      </w:r>
      <w:r>
        <w:rPr>
          <w:rFonts w:hint="eastAsia"/>
        </w:rPr>
        <w:t>加大塑料污染治理力度，加强全市塑料回收、利用、处置等环节环境监管，建立健全塑料制品长效管理机制。严厉打击塑料违规生产销售行为，严格医疗机构内部废弃物的分类管理。城市建成区及镇政府所在地的商场、超市、药店、书店等场所以及餐饮打包外卖服务和各类会展活动，禁止使用不可降解塑料袋，集贸市场规范和限制使用不可降解塑料袋。积极推广一次性塑料可替代产品。完善快递包装规范使用，规范塑料废弃物回收利用和处置。到2025年，全市塑料垃圾填埋量大幅降低，塑料污染得到有效控制。</w:t>
      </w:r>
    </w:p>
    <w:p>
      <w:pPr>
        <w:pStyle w:val="4"/>
      </w:pPr>
      <w:bookmarkStart w:id="43" w:name="_Toc123548309"/>
      <w:r>
        <w:rPr>
          <w:rFonts w:hint="eastAsia"/>
        </w:rPr>
        <w:t xml:space="preserve">第五节 </w:t>
      </w:r>
      <w:r>
        <w:t xml:space="preserve"> </w:t>
      </w:r>
      <w:r>
        <w:rPr>
          <w:rFonts w:hint="eastAsia"/>
        </w:rPr>
        <w:t>加大新污染物基础调查及排放控制</w:t>
      </w:r>
      <w:bookmarkEnd w:id="43"/>
    </w:p>
    <w:p>
      <w:pPr>
        <w:ind w:firstLine="602" w:firstLineChars="200"/>
      </w:pPr>
      <w:r>
        <w:rPr>
          <w:rFonts w:hint="eastAsia"/>
          <w:b/>
          <w:bCs/>
        </w:rPr>
        <w:t>开展新污染物调查评估。</w:t>
      </w:r>
      <w:r>
        <w:rPr>
          <w:rFonts w:hint="eastAsia"/>
        </w:rPr>
        <w:t>深入开展全市化学品基础信息调查更新，进行重点行业重点化学物质生产使用信息调查和环境危害评估，识别有毒有害化学物质。</w:t>
      </w:r>
    </w:p>
    <w:p>
      <w:pPr>
        <w:ind w:firstLine="602" w:firstLineChars="200"/>
      </w:pPr>
      <w:r>
        <w:rPr>
          <w:rFonts w:hint="eastAsia"/>
          <w:b/>
          <w:bCs/>
        </w:rPr>
        <w:t>加强新污染物排放控制。</w:t>
      </w:r>
      <w:r>
        <w:rPr>
          <w:rFonts w:hint="eastAsia"/>
        </w:rPr>
        <w:t>建立有毒有害化学物质环境风险管理信息数据库。提升全市新污染物环境监测、检测能力。对使用有毒有害化学物质或在生产过程中排放新污染物的企业，全面实施强制性清洁生产审核。建立废弃木材、矿产衍生物、木材和电器电子产品处理的第三方审核机制，推进危险废物污染防控，建立化学品环境风险防控体系，严格禁止“洋垃圾”进口。严格落实《产业结构调整指导目录》，强化绿色替代品和替代技术推广应用。严厉打击持久性有机污染物非法生产和使用、添汞产品非法生产等违法行为。</w:t>
      </w:r>
    </w:p>
    <w:p>
      <w:pPr>
        <w:pStyle w:val="4"/>
      </w:pPr>
      <w:bookmarkStart w:id="44" w:name="_Toc123548310"/>
      <w:r>
        <w:rPr>
          <w:rFonts w:hint="eastAsia"/>
        </w:rPr>
        <w:t xml:space="preserve">第六节 </w:t>
      </w:r>
      <w:r>
        <w:t xml:space="preserve"> </w:t>
      </w:r>
      <w:r>
        <w:rPr>
          <w:rFonts w:hint="eastAsia"/>
        </w:rPr>
        <w:t>强化环境风险预警与应急管理</w:t>
      </w:r>
      <w:bookmarkEnd w:id="44"/>
    </w:p>
    <w:p>
      <w:pPr>
        <w:ind w:firstLine="602" w:firstLineChars="200"/>
      </w:pPr>
      <w:r>
        <w:rPr>
          <w:rFonts w:hint="eastAsia"/>
          <w:b/>
          <w:bCs/>
        </w:rPr>
        <w:t>加强环境风险预警防控。</w:t>
      </w:r>
      <w:r>
        <w:rPr>
          <w:rFonts w:hint="eastAsia"/>
        </w:rPr>
        <w:t>完善突发环境事件应急管理多层次预案体系，健全生态环境风险动态评价和管控机制及突发环境事件应对工作机制。2022年底前完成市区政府突发环境事件应急预案修编。完善环境安全例会和例检，定期开展企事业环境风险隐患排查专项整治。完善环境应急响应体系，规范环境应急响应流程，加强环境风险监控和污染控制，及时科学处置突发环境事件。实施企业环境应急预案电子化备案，实现涉危涉重企业全覆盖。加强对政府、企业预案的动态管理，规范定期开展各级环境应急演练和培训制度。</w:t>
      </w:r>
    </w:p>
    <w:p>
      <w:pPr>
        <w:ind w:firstLine="602" w:firstLineChars="200"/>
      </w:pPr>
      <w:r>
        <w:rPr>
          <w:rFonts w:hint="eastAsia"/>
          <w:b/>
          <w:bCs/>
        </w:rPr>
        <w:t>加强环境应急能力建设。</w:t>
      </w:r>
      <w:r>
        <w:rPr>
          <w:rFonts w:hint="eastAsia"/>
        </w:rPr>
        <w:t>强化饮用水源环境风险评估，推动建设必要的应急防控工程。以化工企业及化工园区、危险化学品运输道路为重点，强化环境风险评估和完善环境风险防范措施。加强应急监测能力，建设全市环境应急物资储备库，建立环境应急物资信息管理系统。推动专业化应急队伍建设，构建突发环境事件应急处置专家库。完善区域联动的应急响应与调度支援机制。加强应急监测装备配置，定期开展应急监测演练，增强实战能力。完善区域联动快速的应急响应与调度支援机制，形成有效应对市域内多起突发环境事件的能力。</w:t>
      </w:r>
    </w:p>
    <w:p>
      <w:pPr>
        <w:pStyle w:val="3"/>
        <w:spacing w:before="408" w:after="204"/>
      </w:pPr>
      <w:bookmarkStart w:id="45" w:name="_Toc123548311"/>
      <w:r>
        <w:rPr>
          <w:rFonts w:hint="eastAsia"/>
        </w:rPr>
        <w:t xml:space="preserve">第十章 </w:t>
      </w:r>
      <w:r>
        <w:t xml:space="preserve"> </w:t>
      </w:r>
      <w:r>
        <w:rPr>
          <w:rFonts w:hint="eastAsia"/>
        </w:rPr>
        <w:t>深化改革创新，构建现代环境治理体系</w:t>
      </w:r>
      <w:bookmarkEnd w:id="45"/>
    </w:p>
    <w:p>
      <w:pPr>
        <w:pStyle w:val="4"/>
      </w:pPr>
      <w:bookmarkStart w:id="46" w:name="_Toc123548312"/>
      <w:r>
        <w:rPr>
          <w:rFonts w:hint="eastAsia"/>
        </w:rPr>
        <w:t xml:space="preserve">第一节 </w:t>
      </w:r>
      <w:r>
        <w:t xml:space="preserve"> </w:t>
      </w:r>
      <w:r>
        <w:rPr>
          <w:rFonts w:hint="eastAsia"/>
        </w:rPr>
        <w:t>创新生态环境管理模式</w:t>
      </w:r>
      <w:bookmarkEnd w:id="46"/>
    </w:p>
    <w:p>
      <w:pPr>
        <w:ind w:firstLine="602" w:firstLineChars="200"/>
      </w:pPr>
      <w:r>
        <w:rPr>
          <w:rFonts w:hint="eastAsia"/>
          <w:b/>
          <w:bCs/>
        </w:rPr>
        <w:t>强化生态环境保护领导责任。</w:t>
      </w:r>
      <w:r>
        <w:rPr>
          <w:rFonts w:hint="eastAsia"/>
        </w:rPr>
        <w:t>充分发挥市区生态环境保护委员会职能作用，贯彻执行《满洲里市各级党委（党工委）和管委会及有关部门单位生态环境保护责任清单》。市区党委政府具体抓落实，承担污染防治、生态保护、监管执法、市场规范、资金安排、宣传教育等工作；健全部门协作机制，有关部门对生态环境保护分工负责，构建各负其责、齐抓共管的生态环境保护新格局，持续推进自然资源资产负债表编制、领导干部自然资源资产离任（任中）审计、生态环境损害责任终身追究。</w:t>
      </w:r>
    </w:p>
    <w:p>
      <w:pPr>
        <w:ind w:firstLine="602" w:firstLineChars="200"/>
      </w:pPr>
      <w:r>
        <w:rPr>
          <w:rFonts w:hint="eastAsia"/>
          <w:b/>
          <w:bCs/>
        </w:rPr>
        <w:t>落实企业生态环境保护主体责任。</w:t>
      </w:r>
      <w:r>
        <w:rPr>
          <w:rFonts w:hint="eastAsia"/>
        </w:rPr>
        <w:t>严格执行环境影响评价、排污许可、排污权交易等相关制度，压实排污企业生产过程中的减排责任。淘汰落后生产工艺技术、开展技术创新，推行清洁生产，加强全过程管理，严格落实企业源头防控、依法排污的责任。利用生态环境大数据平台统一企业环境管理信息，督促企业主动开展排污许可、监督性监测、在线监测、环境违法、企业生态环境信用评价、环境保护税等环境信息强制性披露，严格落实企业源头防控、依法排污的责任。</w:t>
      </w:r>
    </w:p>
    <w:p>
      <w:pPr>
        <w:ind w:firstLine="602" w:firstLineChars="200"/>
      </w:pPr>
      <w:r>
        <w:rPr>
          <w:rFonts w:hint="eastAsia"/>
          <w:b/>
          <w:bCs/>
        </w:rPr>
        <w:t>健全环境治理信用管理体系。</w:t>
      </w:r>
      <w:r>
        <w:rPr>
          <w:rFonts w:hint="eastAsia"/>
        </w:rPr>
        <w:t>健全企业环保信用体系，不断扩大参评企业覆盖面，强化企业“三同时”、自行监测、违法处罚等环境管理信息数据的采集、整理，完善信息公开制度。完善环评、验收、清洁生产等服务咨询机构及其从业人员、专家诚信档案数据库。建立和完善生态环境信用信息系统，提高监管的规范化、精准化和智能化水平。构建企业环境行为信用信息共享机制，加强与银行、证券、保险、商务、市场监管、工信等部门的联动，发挥环保守信联合激励和失信联合惩戒机制，确保“一处违法、处处受限”。严格落实上市公司和发债企业强制性环境治理信息披露制度。</w:t>
      </w:r>
    </w:p>
    <w:p>
      <w:pPr>
        <w:ind w:firstLine="602" w:firstLineChars="200"/>
      </w:pPr>
      <w:r>
        <w:rPr>
          <w:rFonts w:hint="eastAsia"/>
          <w:b/>
          <w:bCs/>
        </w:rPr>
        <w:t>加强生态环境保护“放管服”。</w:t>
      </w:r>
      <w:r>
        <w:rPr>
          <w:rFonts w:hint="eastAsia"/>
        </w:rPr>
        <w:t>在上级部门管理要求下，优化分级审批意见。强化对重大基础设施、节能降碳、绿色环保等战略性新兴产业等项目的环评服务，提升管理服务效能。加强对重点地区污染防治攻坚督导帮扶和技术指导。深化对企业的污染防治技术服务。推进环评审批和监督执法“两个正面清单”制度化、规范化,加强 “三线一单”、区域规划环评宏观指导，优化建设项目环评分级分类管理。</w:t>
      </w:r>
    </w:p>
    <w:p>
      <w:pPr>
        <w:pStyle w:val="4"/>
      </w:pPr>
      <w:bookmarkStart w:id="47" w:name="_Toc123548313"/>
      <w:r>
        <w:rPr>
          <w:rFonts w:hint="eastAsia"/>
        </w:rPr>
        <w:t xml:space="preserve">第二节 </w:t>
      </w:r>
      <w:r>
        <w:t xml:space="preserve"> </w:t>
      </w:r>
      <w:r>
        <w:rPr>
          <w:rFonts w:hint="eastAsia"/>
        </w:rPr>
        <w:t>完善生态环境制度建设</w:t>
      </w:r>
      <w:bookmarkEnd w:id="47"/>
    </w:p>
    <w:p>
      <w:pPr>
        <w:ind w:firstLine="602" w:firstLineChars="200"/>
      </w:pPr>
      <w:r>
        <w:rPr>
          <w:rFonts w:hint="eastAsia"/>
          <w:b/>
          <w:bCs/>
        </w:rPr>
        <w:t>落实生态环境保护督察。</w:t>
      </w:r>
      <w:r>
        <w:rPr>
          <w:rFonts w:hint="eastAsia"/>
        </w:rPr>
        <w:t>配合做好中央和自治区生态环境保护督察工作，把反馈问题整改作为重大政治任务，抓住重点领域和关键环节，全面解决突出问题，补齐短板，确保整改工作取得扎实有效成果</w:t>
      </w:r>
      <w:r>
        <w:rPr>
          <w:rStyle w:val="15"/>
          <w:rFonts w:hint="eastAsia" w:cstheme="minorBidi"/>
          <w:kern w:val="2"/>
        </w:rPr>
        <w:t>。</w:t>
      </w:r>
    </w:p>
    <w:p>
      <w:pPr>
        <w:ind w:firstLine="602" w:firstLineChars="200"/>
      </w:pPr>
      <w:r>
        <w:rPr>
          <w:rFonts w:hint="eastAsia"/>
          <w:b/>
          <w:bCs/>
        </w:rPr>
        <w:t>全面贯彻排污许可管理制度。</w:t>
      </w:r>
      <w:r>
        <w:rPr>
          <w:rFonts w:hint="eastAsia"/>
        </w:rPr>
        <w:t>贯彻落实排污许可管理条例和相关政策要求，强化排污许可管理，全面实现固定污染源排污许可全覆盖，加快建立以排污许可为核心的固定污染源环境管理制度体系，进一步强化排污许可的“一证式”管理。加强企业排污行为监督检查，打击和遏制无证排污、不按证排污等违法行为，切实提高排污许可证技术文件质量，提升排污许可业务监管能力，推进审查审批与行政执法衔接，推动监管、监测、执法有效联动、闭环管理，提高执法效能和依法行政水平，增强监管合力，营造自觉守法、违法必究的良好氛围。加强排污许可与环评管理工作协调联动，确保环评源头预防和排污许可核心制度效力的发挥。</w:t>
      </w:r>
    </w:p>
    <w:p>
      <w:pPr>
        <w:ind w:firstLine="602" w:firstLineChars="200"/>
      </w:pPr>
      <w:r>
        <w:rPr>
          <w:rFonts w:hint="eastAsia"/>
          <w:b/>
          <w:bCs/>
        </w:rPr>
        <w:t>深化排污权交易改革。</w:t>
      </w:r>
      <w:r>
        <w:rPr>
          <w:rFonts w:hint="eastAsia"/>
        </w:rPr>
        <w:t>深度融入自治区排污权交易体系，充分发挥市场在环境资源配</w:t>
      </w:r>
      <w:r>
        <w:rPr>
          <w:rFonts w:hint="eastAsia"/>
          <w:lang w:eastAsia="zh-CN"/>
        </w:rPr>
        <w:t>置</w:t>
      </w:r>
      <w:r>
        <w:rPr>
          <w:rFonts w:hint="eastAsia"/>
        </w:rPr>
        <w:t>中的作用，推进企业排污权资源化，提高企业减排的积极性。</w:t>
      </w:r>
    </w:p>
    <w:p>
      <w:pPr>
        <w:ind w:firstLine="602" w:firstLineChars="200"/>
      </w:pPr>
      <w:r>
        <w:rPr>
          <w:rFonts w:hint="eastAsia"/>
          <w:b/>
          <w:bCs/>
        </w:rPr>
        <w:t>健全生态保护补偿机制。</w:t>
      </w:r>
      <w:r>
        <w:rPr>
          <w:rFonts w:hint="eastAsia"/>
        </w:rPr>
        <w:t>积极向国家、自治区、呼伦贝尔市争取生态补偿、转移支付、生态文明示范创建、温室气体减排等的资金支持，争取列入国家生态补偿综合试点。系统评估全市生态系统服务价值增值情况，建立政府与社会资本合作的生态补偿模式。积极创建绿色金融改革创新试点，争取设立“中国北方生态安全屏障保护基金”。</w:t>
      </w:r>
    </w:p>
    <w:p>
      <w:pPr>
        <w:ind w:firstLine="602" w:firstLineChars="200"/>
      </w:pPr>
      <w:r>
        <w:rPr>
          <w:rFonts w:hint="eastAsia"/>
          <w:b/>
          <w:bCs/>
        </w:rPr>
        <w:t>落实生态环境损害赔偿制度。</w:t>
      </w:r>
      <w:r>
        <w:rPr>
          <w:rFonts w:hint="eastAsia"/>
        </w:rPr>
        <w:t>落实生态环境损害赔偿制度，加强案例线索筛查、重大案件追踪办理和修复效果评估。提升生态环境损害赔偿司法鉴定、评估评价、生态修复等专业化能力。推进行政处罚与生态环境损害赔偿有效衔接，进一步解决生态环境损害只罚不赔、违法成本低的问题。加强生态环境损害赔偿制度与检察公益诉讼衔接，建立线索双移送机制，强化与检察机关的协作配合与相互支持，形成生态环境保护合力。探索生态环境损害惩罚性赔偿机制，倒逼企业严格履行环境保护责任。</w:t>
      </w:r>
    </w:p>
    <w:p>
      <w:pPr>
        <w:pStyle w:val="4"/>
      </w:pPr>
      <w:bookmarkStart w:id="48" w:name="_Toc123548314"/>
      <w:r>
        <w:rPr>
          <w:rFonts w:hint="eastAsia"/>
        </w:rPr>
        <w:t xml:space="preserve">第三节 </w:t>
      </w:r>
      <w:r>
        <w:t xml:space="preserve"> </w:t>
      </w:r>
      <w:r>
        <w:rPr>
          <w:rFonts w:hint="eastAsia"/>
        </w:rPr>
        <w:t>推进生态环境监测体系建设</w:t>
      </w:r>
      <w:bookmarkEnd w:id="48"/>
    </w:p>
    <w:p>
      <w:pPr>
        <w:ind w:firstLine="602" w:firstLineChars="200"/>
      </w:pPr>
      <w:r>
        <w:rPr>
          <w:rFonts w:hint="eastAsia"/>
          <w:b/>
          <w:bCs/>
        </w:rPr>
        <w:t>加强生态环境监测能力建设。</w:t>
      </w:r>
      <w:r>
        <w:rPr>
          <w:rFonts w:hint="eastAsia"/>
        </w:rPr>
        <w:t>以服务地方事权监测和执法监测为目的，探索整合现有监测力量，统筹区域生态环境监测工作，推动实现区域生态环境监测一体化发展。结合区域特点，因地制宜推动市区监测中心标准化能力建设，能够有效开展水、气、噪声、辐射等监测工作及污染源执法监测工作，为地方环境管理提供及时准确的数据支撑。逐步推进应急监测能力建设，确保应监测人员、仪器装备、经费保障等满足监测需要，形成污染事故应急监测能力。</w:t>
      </w:r>
    </w:p>
    <w:p>
      <w:pPr>
        <w:ind w:firstLine="602" w:firstLineChars="200"/>
      </w:pPr>
      <w:r>
        <w:rPr>
          <w:rFonts w:hint="eastAsia"/>
          <w:b/>
          <w:bCs/>
        </w:rPr>
        <w:t>完善环境质量监测网络。</w:t>
      </w:r>
      <w:r>
        <w:rPr>
          <w:rFonts w:hint="eastAsia"/>
        </w:rPr>
        <w:t>按照事权划分，进一步完善全市的环境质量监测网络。完善土壤污染重点监管单位、垃圾填埋场、固废处置场地等周边土壤和地下水环境监测；健全声环境监测体系，推进市区所在地开展声环境质量常规监测，市区分步实施功能区噪声自动监测。</w:t>
      </w:r>
    </w:p>
    <w:p>
      <w:pPr>
        <w:ind w:firstLine="602" w:firstLineChars="200"/>
      </w:pPr>
      <w:r>
        <w:rPr>
          <w:rFonts w:hint="eastAsia"/>
          <w:b/>
          <w:bCs/>
        </w:rPr>
        <w:t>健全污染源监测体系。</w:t>
      </w:r>
      <w:r>
        <w:rPr>
          <w:rFonts w:hint="eastAsia"/>
        </w:rPr>
        <w:t>围绕排污许可核心制度，按照源头控制，标本兼治的要求，坚持以固定污染源全面监测为基础，压实排污单位自行监测主体责任，逐步建立影响大气、水、土壤等各环境要素的固定污染源、移动源、入河排污口的污染源监测体系。推进VOCs、总磷、总氮、重金属等重点排污单位安装自动在线监测系统，规范排污单位和工业园区污染源自行监测监控，通过物联网、大数据等技术手段，实时联网监控重点污染源污染物排放情况。按照“双随机、一公开”模式开展执法监测，加强污染源执法监测与监管协同工作，形成权责明确、衔接有序、协作有力的工作机制。在对入河排污口全面排查基础上，完善入河排污口监测体系，建立入河排污口名录，规范入河排污口监测。</w:t>
      </w:r>
    </w:p>
    <w:p>
      <w:pPr>
        <w:ind w:firstLine="602" w:firstLineChars="200"/>
      </w:pPr>
      <w:r>
        <w:rPr>
          <w:rFonts w:hint="eastAsia"/>
          <w:b/>
          <w:bCs/>
        </w:rPr>
        <w:t>强化应急监测。</w:t>
      </w:r>
      <w:r>
        <w:rPr>
          <w:rFonts w:hint="eastAsia"/>
        </w:rPr>
        <w:t>建立属地管理、因地制宜、统一指挥、分级响应、上下联动、平战结合、科学应对的应急监测体系。提升跨地区应急监测支援能力，不断提升突发环境事件应急预案和提升环境应急监测水平。加强应急监测装备配置，健全与国家环境应急监测联动响应机制，建立社会化应急监测参与机制，实现环境应急监测的统一指挥协调、应急监测资源的统一调动调配、监测数据的统一分析管理。推进应急监测自动化、可移动的先进监测设备建设，搭建监测监控大数据平台、网络预警监测平台，提升应急智能化水平。建立训练有素的应急监测队伍，定期开展应急监测演练，增强实战能力。完善环境应急监测专家库，探索建立社会化应急监测参与机制。建立健全应急监测装备体系，明确应急监测方案、掌握辖区内风险隐患点，确保能在最短时间内应对突发事件。</w:t>
      </w:r>
    </w:p>
    <w:p>
      <w:pPr>
        <w:pStyle w:val="4"/>
      </w:pPr>
      <w:bookmarkStart w:id="49" w:name="_Toc123548315"/>
      <w:r>
        <w:rPr>
          <w:rFonts w:hint="eastAsia"/>
        </w:rPr>
        <w:t xml:space="preserve">第四节 </w:t>
      </w:r>
      <w:r>
        <w:t xml:space="preserve"> </w:t>
      </w:r>
      <w:r>
        <w:rPr>
          <w:rFonts w:hint="eastAsia"/>
        </w:rPr>
        <w:t>开展生态环境大数据建设</w:t>
      </w:r>
      <w:bookmarkEnd w:id="49"/>
    </w:p>
    <w:p>
      <w:pPr>
        <w:ind w:firstLine="600" w:firstLineChars="200"/>
      </w:pPr>
      <w:r>
        <w:rPr>
          <w:rFonts w:hint="eastAsia"/>
        </w:rPr>
        <w:t>利用大数据、云服务、互联网+等现代信息技术手段，基于环保专网、互联网，整合各类生态环境保护信息，实现系统整合、数据汇聚、资源共享，提升满洲里市生态环境监管信息化水平。全面推广线上线下相融合的生态环境政务服务模式，提高办事服务效率。建立全景式生态环境形势研判模式，强化对大气、水、土壤、生态、核与辐射等多种环境要素及各类污染源的全面感知和实时监控，深化生态环境大数据分析及创新应用。</w:t>
      </w:r>
    </w:p>
    <w:p>
      <w:pPr>
        <w:pStyle w:val="4"/>
      </w:pPr>
      <w:bookmarkStart w:id="50" w:name="_Toc123548316"/>
      <w:r>
        <w:rPr>
          <w:rFonts w:hint="eastAsia"/>
        </w:rPr>
        <w:t xml:space="preserve">第五节 </w:t>
      </w:r>
      <w:r>
        <w:t xml:space="preserve"> </w:t>
      </w:r>
      <w:r>
        <w:rPr>
          <w:rFonts w:hint="eastAsia"/>
        </w:rPr>
        <w:t>完善生态环境执法体系建设</w:t>
      </w:r>
      <w:bookmarkEnd w:id="50"/>
    </w:p>
    <w:p>
      <w:pPr>
        <w:ind w:firstLine="602" w:firstLineChars="200"/>
      </w:pPr>
      <w:r>
        <w:rPr>
          <w:rFonts w:hint="eastAsia"/>
          <w:b/>
          <w:bCs/>
        </w:rPr>
        <w:t>完善落实生态环境执法制度。</w:t>
      </w:r>
      <w:r>
        <w:rPr>
          <w:rFonts w:hint="eastAsia"/>
        </w:rPr>
        <w:t>完成生态环境综合行政执法体制改革，健全生态环境部门与自然资源、水利、林草、农牧等部门间联合执法衔接机制，划分责任边界，组织开展区域交叉执法核查。认真执行生态环境保护综合行政执法事项目录，健全执法责任制，优化执法方式，提高执法效能，坚决纠正不作为、乱作为问题，依法保障各类主体的环境权益，严禁“一刀切”。实行“双随机、一公开”常态化监管，注重“柔性执法”，认真落实生态环境监督执法正面清单管理制度及优化营商环境政策措施。全面推进行政执法公示制度、执法全过程记录制度、重大执法决定法制审核制度，规范适用环境行政处罚自由裁量权。认真落实《内蒙古自治区生态环境系统综合行政执法机构及其执法人员履职尽责容错纠错实施办法（试行）》，做到职责法定、尽职免责、失职追责、减少失误、有错必纠、公平公正。继续加强行政执法与刑事司法部门联动机制，保持环境执法高压态势。落实“谁执法、谁普法”的要求，定期组织开展监督帮扶，“送法入企”，做到“精准把脉、辨证施治”。</w:t>
      </w:r>
    </w:p>
    <w:p>
      <w:pPr>
        <w:ind w:firstLine="602" w:firstLineChars="200"/>
      </w:pPr>
      <w:r>
        <w:rPr>
          <w:rFonts w:hint="eastAsia"/>
          <w:b/>
          <w:bCs/>
        </w:rPr>
        <w:t>创新生态环境执法模式。</w:t>
      </w:r>
      <w:r>
        <w:rPr>
          <w:rFonts w:hint="eastAsia"/>
        </w:rPr>
        <w:t>加大生态环境执法力度，补齐应对气候变化、生态监管、核与辐射等领域执法能力短板。推广“互联网+统一指挥+综合执法”非现场监管模式，大力拓展非现场监管的手段及应用，以自动监控为主，推行视频监控和环保设施用水、用电监控等物联网监管手段，积极利用无人机等科技手段，推进大数据采集分析、违法风险监测预警等在环境执法中应用。强化综合行政执法职能，加强监管执法能力、执法队伍建设，配备统一服装、调查取证、移动执法、数据分析、执法用车等装备。</w:t>
      </w:r>
    </w:p>
    <w:p>
      <w:pPr>
        <w:pStyle w:val="3"/>
        <w:spacing w:before="408" w:after="204"/>
      </w:pPr>
      <w:bookmarkStart w:id="51" w:name="_Toc123548317"/>
      <w:r>
        <w:rPr>
          <w:rFonts w:hint="eastAsia"/>
        </w:rPr>
        <w:t xml:space="preserve">第十一章 </w:t>
      </w:r>
      <w:r>
        <w:t xml:space="preserve"> </w:t>
      </w:r>
      <w:r>
        <w:rPr>
          <w:rFonts w:hint="eastAsia"/>
        </w:rPr>
        <w:t>强化规划保障措施，确保规划顺利实施</w:t>
      </w:r>
      <w:bookmarkEnd w:id="51"/>
    </w:p>
    <w:p>
      <w:pPr>
        <w:pStyle w:val="4"/>
      </w:pPr>
      <w:bookmarkStart w:id="52" w:name="_Toc123548318"/>
      <w:r>
        <w:rPr>
          <w:rFonts w:hint="eastAsia"/>
        </w:rPr>
        <w:t xml:space="preserve">第一节 </w:t>
      </w:r>
      <w:r>
        <w:t xml:space="preserve"> </w:t>
      </w:r>
      <w:r>
        <w:rPr>
          <w:rFonts w:hint="eastAsia"/>
        </w:rPr>
        <w:t>加强组织领导</w:t>
      </w:r>
      <w:bookmarkEnd w:id="52"/>
    </w:p>
    <w:p>
      <w:pPr>
        <w:ind w:firstLine="600" w:firstLineChars="200"/>
      </w:pPr>
      <w:r>
        <w:rPr>
          <w:rFonts w:hint="eastAsia"/>
        </w:rPr>
        <w:t>把生态环境保护摆在工作突出地位，坚决落实生态文明建设和生态环境保护责任。从实际出发，研究细化分阶段、分年度、分区域的工作目标和重点任务，制定具体措施，明确时间表、路线图，推动各项政策措施落地见效，切实解决突出问题。进一步完善生态文明建设综合考核评价指标体系，凸显生态屏障考核指标及权重，强化指标约束，实行差别化的考核制度。各有关部门强化沟通协作，进一步理顺工作管理体制，强化统筹协调和综合管理。</w:t>
      </w:r>
    </w:p>
    <w:p>
      <w:pPr>
        <w:pStyle w:val="4"/>
      </w:pPr>
      <w:bookmarkStart w:id="53" w:name="_Toc123548319"/>
      <w:r>
        <w:rPr>
          <w:rFonts w:hint="eastAsia"/>
        </w:rPr>
        <w:t xml:space="preserve">第二节 </w:t>
      </w:r>
      <w:r>
        <w:t xml:space="preserve"> </w:t>
      </w:r>
      <w:r>
        <w:rPr>
          <w:rFonts w:hint="eastAsia"/>
        </w:rPr>
        <w:t>落实资金保障</w:t>
      </w:r>
      <w:bookmarkEnd w:id="53"/>
    </w:p>
    <w:p>
      <w:pPr>
        <w:ind w:firstLine="600" w:firstLineChars="200"/>
        <w:jc w:val="left"/>
      </w:pPr>
      <w:bookmarkStart w:id="54" w:name="_Toc123548320"/>
      <w:r>
        <w:rPr>
          <w:rFonts w:hint="eastAsia"/>
        </w:rPr>
        <w:t>把生态环境资金投入作为基础性、战略性投入予以保障，持续加大对生态环境保护的财政投入力度。积极争取国家、自治区资金支持力度，用于河湖水环境治理、污水治理、垃圾处理、清洁能源等相关的公益事业。充分发挥财政资金的引导和带动作用，建立政府引导、市场运作、社会参与的多元化投融资机制，引导更多的社会资本主动参与生态环境保护建设。</w:t>
      </w:r>
      <w:r>
        <w:rPr>
          <w:rFonts w:ascii="仿宋_GB2312" w:hAnsi="仿宋_GB2312" w:cs="仿宋_GB2312"/>
          <w:sz w:val="31"/>
          <w:szCs w:val="31"/>
          <w:lang w:bidi="ar"/>
        </w:rPr>
        <w:t xml:space="preserve">创新绿色投融资机制，特别是在污染防治跟踪监督、环保第三方评估和第三方运营等方面，大力推行 </w:t>
      </w:r>
      <w:r>
        <w:rPr>
          <w:rFonts w:eastAsia="宋体" w:cs="Times New Roman"/>
          <w:sz w:val="31"/>
          <w:szCs w:val="31"/>
          <w:lang w:bidi="ar"/>
        </w:rPr>
        <w:t xml:space="preserve">PPP </w:t>
      </w:r>
      <w:r>
        <w:rPr>
          <w:rFonts w:ascii="仿宋_GB2312" w:hAnsi="仿宋_GB2312" w:cs="仿宋_GB2312"/>
          <w:sz w:val="31"/>
          <w:szCs w:val="31"/>
          <w:lang w:bidi="ar"/>
        </w:rPr>
        <w:t>和政府购买服务模式，进一步放大财政资金效益，重点支持生态环境治理、环保产业类项目投入。</w:t>
      </w:r>
    </w:p>
    <w:p>
      <w:pPr>
        <w:pStyle w:val="4"/>
      </w:pPr>
      <w:r>
        <w:rPr>
          <w:rFonts w:hint="eastAsia"/>
        </w:rPr>
        <w:t xml:space="preserve">第三节 </w:t>
      </w:r>
      <w:r>
        <w:t xml:space="preserve"> </w:t>
      </w:r>
      <w:r>
        <w:rPr>
          <w:rFonts w:hint="eastAsia"/>
        </w:rPr>
        <w:t>强化监管考核</w:t>
      </w:r>
      <w:bookmarkEnd w:id="54"/>
    </w:p>
    <w:p>
      <w:pPr>
        <w:ind w:firstLine="600" w:firstLineChars="200"/>
      </w:pPr>
      <w:r>
        <w:rPr>
          <w:rFonts w:hint="eastAsia"/>
        </w:rPr>
        <w:t>建立长效管理机制，制定考核与问责等工作制度，强化各级生态环境监管人员、设备和经费等保障，确保生态环境监管见实见效。完善生态环境保护目标责任考核体系，加强生态环境保护、节能减污降碳约束性指标管理，突出中央生态环境保护督察反馈问题整改、污染防治攻坚成效、生态环境质量改善、公众满意程度等指标的考核，加强考核结果应用，将考核结果作为各级领导班子和领导干部任用和奖惩、专项资金安排的重要依据。</w:t>
      </w:r>
    </w:p>
    <w:p>
      <w:pPr>
        <w:pStyle w:val="4"/>
      </w:pPr>
      <w:bookmarkStart w:id="55" w:name="_Toc123548321"/>
      <w:r>
        <w:rPr>
          <w:rFonts w:hint="eastAsia"/>
        </w:rPr>
        <w:t xml:space="preserve">第四节 </w:t>
      </w:r>
      <w:r>
        <w:t xml:space="preserve"> </w:t>
      </w:r>
      <w:r>
        <w:rPr>
          <w:rFonts w:hint="eastAsia"/>
        </w:rPr>
        <w:t>强化人才支撑</w:t>
      </w:r>
      <w:bookmarkEnd w:id="55"/>
    </w:p>
    <w:p>
      <w:pPr>
        <w:ind w:firstLine="600" w:firstLineChars="200"/>
      </w:pPr>
      <w:r>
        <w:rPr>
          <w:rFonts w:hint="eastAsia"/>
        </w:rPr>
        <w:t>强化生态环境领域人才队伍建设，不断扩大人才队伍数量，提高人才队伍素质，优化调整人才队伍结构，加强高端人才开发培养，加大人才引进力度，实施人才体制机制创新，提升人才发展的基础保障能力。推进人才工作理念升级、方法升级和思路升级，统筹谋划人才工作，按需引用人才，盘活现有人才资源，做到人尽其用，切实提升组织人才队伍建设。</w:t>
      </w:r>
    </w:p>
    <w:p>
      <w:pPr>
        <w:pStyle w:val="4"/>
      </w:pPr>
      <w:bookmarkStart w:id="56" w:name="_Toc123548322"/>
      <w:r>
        <w:rPr>
          <w:rFonts w:hint="eastAsia"/>
        </w:rPr>
        <w:t xml:space="preserve">第五节 </w:t>
      </w:r>
      <w:r>
        <w:t xml:space="preserve"> </w:t>
      </w:r>
      <w:r>
        <w:rPr>
          <w:rFonts w:hint="eastAsia"/>
        </w:rPr>
        <w:t>开展评估督导</w:t>
      </w:r>
      <w:bookmarkEnd w:id="56"/>
    </w:p>
    <w:p>
      <w:pPr>
        <w:ind w:firstLine="600" w:firstLineChars="200"/>
      </w:pPr>
      <w:r>
        <w:rPr>
          <w:rFonts w:hint="eastAsia"/>
        </w:rPr>
        <w:t>组织规划实施评估，加大力度督促指导市区、各有关部门协调解决存在的问题，采取有效措施切实加快推进项目建设和资金使用，确保按时保质完成各项工作任务。2023年和2025年底对规划执行情况进行中期评估和终期考核。</w:t>
      </w:r>
    </w:p>
    <w:p>
      <w:pPr>
        <w:pStyle w:val="4"/>
      </w:pPr>
      <w:bookmarkStart w:id="57" w:name="_Toc123548323"/>
      <w:r>
        <w:rPr>
          <w:rFonts w:hint="eastAsia"/>
        </w:rPr>
        <w:t xml:space="preserve">第六节 </w:t>
      </w:r>
      <w:r>
        <w:t xml:space="preserve"> </w:t>
      </w:r>
      <w:r>
        <w:rPr>
          <w:rFonts w:hint="eastAsia"/>
        </w:rPr>
        <w:t>加强社会监督</w:t>
      </w:r>
      <w:bookmarkEnd w:id="57"/>
    </w:p>
    <w:p>
      <w:pPr>
        <w:ind w:firstLine="600" w:firstLineChars="200"/>
      </w:pPr>
      <w:r>
        <w:rPr>
          <w:rFonts w:hint="eastAsia"/>
        </w:rPr>
        <w:t>推动网上信访，统筹来电、来访、“12345”热线电话、微信微博、网上投诉、电子邮件以及其他渠道受理的信访投诉问题，梳理信访投诉和问题线索，实现信访投诉信息“一网登记、一网转办、一网处理、一网回复”。认真做好舆情应对和信访案件查处工作，及时化解环境矛盾和纠纷，切实维护人民群众的环境权益。积极推动自治区级及以下生态环境部门的信访机构与执法监管机构整合，赋予综合协调职责，实现统一交办、统一分析研判、统一监督管理。</w:t>
      </w:r>
    </w:p>
    <w:p>
      <w:pPr>
        <w:ind w:firstLine="600" w:firstLineChars="200"/>
      </w:pPr>
    </w:p>
    <w:p>
      <w:pPr>
        <w:ind w:firstLine="600" w:firstLineChars="200"/>
      </w:pPr>
    </w:p>
    <w:p>
      <w:pPr>
        <w:ind w:firstLine="600" w:firstLineChars="200"/>
      </w:pPr>
    </w:p>
    <w:p>
      <w:pPr>
        <w:ind w:firstLine="600" w:firstLineChars="200"/>
      </w:pPr>
    </w:p>
    <w:p>
      <w:pPr>
        <w:ind w:firstLine="600" w:firstLineChars="200"/>
      </w:pPr>
    </w:p>
    <w:p>
      <w:pPr>
        <w:ind w:firstLine="600" w:firstLineChars="200"/>
      </w:pPr>
    </w:p>
    <w:sectPr>
      <w:footerReference r:id="rId5" w:type="default"/>
      <w:pgSz w:w="11906" w:h="16838"/>
      <w:pgMar w:top="1440" w:right="1797" w:bottom="1440" w:left="1797" w:header="851" w:footer="992" w:gutter="0"/>
      <w:pgNumType w:start="1"/>
      <w:cols w:space="425" w:num="1"/>
      <w:docGrid w:type="lines" w:linePitch="408"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微软雅黑">
    <w:altName w:val="方正黑体_GBK"/>
    <w:panose1 w:val="020B0503020204020204"/>
    <w:charset w:val="86"/>
    <w:family w:val="swiss"/>
    <w:pitch w:val="default"/>
    <w:sig w:usb0="00000000" w:usb1="00000000" w:usb2="00000016" w:usb3="00000000" w:csb0="0004001F" w:csb1="00000000"/>
  </w:font>
  <w:font w:name="方正黑体_GBK">
    <w:panose1 w:val="02000000000000000000"/>
    <w:charset w:val="86"/>
    <w:family w:val="auto"/>
    <w:pitch w:val="default"/>
    <w:sig w:usb0="00000001" w:usb1="08000000" w:usb2="00000000" w:usb3="00000000" w:csb0="00040000" w:csb1="00000000"/>
  </w:font>
  <w:font w:name="等线">
    <w:altName w:val="华文中宋"/>
    <w:panose1 w:val="02010600030101010101"/>
    <w:charset w:val="86"/>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 w:name="等线 Light">
    <w:altName w:val="华文中宋"/>
    <w:panose1 w:val="02010600030101010101"/>
    <w:charset w:val="86"/>
    <w:family w:val="auto"/>
    <w:pitch w:val="default"/>
    <w:sig w:usb0="00000000" w:usb1="00000000" w:usb2="00000016" w:usb3="00000000" w:csb0="0004000F" w:csb1="00000000"/>
  </w:font>
  <w:font w:name="仿宋">
    <w:altName w:val="方正仿宋_GBK"/>
    <w:panose1 w:val="02010609060101010101"/>
    <w:charset w:val="86"/>
    <w:family w:val="modern"/>
    <w:pitch w:val="default"/>
    <w:sig w:usb0="00000000" w:usb1="00000000" w:usb2="00000016" w:usb3="00000000" w:csb0="00040001" w:csb1="00000000"/>
  </w:font>
  <w:font w:name="Liberation Serif">
    <w:panose1 w:val="02020603050405020304"/>
    <w:charset w:val="00"/>
    <w:family w:val="auto"/>
    <w:pitch w:val="default"/>
    <w:sig w:usb0="A00002AF" w:usb1="500078FB" w:usb2="00000000" w:usb3="00000000" w:csb0="6000009F" w:csb1="DFD70000"/>
  </w:font>
  <w:font w:name="等线">
    <w:altName w:val="C059"/>
    <w:panose1 w:val="00000000000000000000"/>
    <w:charset w:val="00"/>
    <w:family w:val="auto"/>
    <w:pitch w:val="default"/>
    <w:sig w:usb0="00000000" w:usb1="00000000" w:usb2="00000000" w:usb3="00000000" w:csb0="00000000" w:csb1="00000000"/>
  </w:font>
  <w:font w:name="C059">
    <w:panose1 w:val="00000500000000000000"/>
    <w:charset w:val="00"/>
    <w:family w:val="auto"/>
    <w:pitch w:val="default"/>
    <w:sig w:usb0="00000287" w:usb1="00000800" w:usb2="00000000" w:usb3="00000000" w:csb0="6000009F" w:csb1="00000000"/>
  </w:font>
  <w:font w:name="等线 Light">
    <w:altName w:val="C059"/>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EndPr>
      <w:rPr>
        <w:rFonts w:eastAsia="宋体" w:cs="Times New Roman"/>
        <w:sz w:val="24"/>
        <w:szCs w:val="24"/>
      </w:rPr>
    </w:sdtEndPr>
    <w:sdtContent>
      <w:p>
        <w:pPr>
          <w:pStyle w:val="7"/>
          <w:jc w:val="center"/>
          <w:rPr>
            <w:rFonts w:eastAsia="宋体" w:cs="Times New Roman"/>
            <w:sz w:val="24"/>
            <w:szCs w:val="24"/>
          </w:rPr>
        </w:pPr>
        <w:r>
          <w:rPr>
            <w:rFonts w:eastAsia="宋体" w:cs="Times New Roman"/>
            <w:sz w:val="24"/>
            <w:szCs w:val="24"/>
          </w:rPr>
          <w:t>第</w:t>
        </w:r>
        <w:r>
          <w:rPr>
            <w:rFonts w:eastAsia="宋体" w:cs="Times New Roman"/>
            <w:sz w:val="24"/>
            <w:szCs w:val="24"/>
          </w:rPr>
          <w:fldChar w:fldCharType="begin"/>
        </w:r>
        <w:r>
          <w:rPr>
            <w:rFonts w:eastAsia="宋体" w:cs="Times New Roman"/>
            <w:sz w:val="24"/>
            <w:szCs w:val="24"/>
          </w:rPr>
          <w:instrText xml:space="preserve">PAGE   \* MERGEFORMAT</w:instrText>
        </w:r>
        <w:r>
          <w:rPr>
            <w:rFonts w:eastAsia="宋体" w:cs="Times New Roman"/>
            <w:sz w:val="24"/>
            <w:szCs w:val="24"/>
          </w:rPr>
          <w:fldChar w:fldCharType="separate"/>
        </w:r>
        <w:r>
          <w:rPr>
            <w:rFonts w:eastAsia="宋体" w:cs="Times New Roman"/>
            <w:sz w:val="24"/>
            <w:szCs w:val="24"/>
            <w:lang w:val="zh-CN"/>
          </w:rPr>
          <w:t>36</w:t>
        </w:r>
        <w:r>
          <w:rPr>
            <w:rFonts w:eastAsia="宋体" w:cs="Times New Roman"/>
            <w:sz w:val="24"/>
            <w:szCs w:val="24"/>
          </w:rPr>
          <w:fldChar w:fldCharType="end"/>
        </w:r>
        <w:r>
          <w:rPr>
            <w:rFonts w:eastAsia="宋体" w:cs="Times New Roman"/>
            <w:sz w:val="24"/>
            <w:szCs w:val="24"/>
          </w:rPr>
          <w:t>页</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bordersDoNotSurroundHeader w:val="1"/>
  <w:bordersDoNotSurroundFooter w:val="1"/>
  <w:documentProtection w:enforcement="0"/>
  <w:defaultTabStop w:val="420"/>
  <w:drawingGridHorizontalSpacing w:val="150"/>
  <w:drawingGridVerticalSpacing w:val="204"/>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I2ZWYxZTc5OTM2NzY0ODdkNzBhMDczNGYyNjIwM2QifQ=="/>
  </w:docVars>
  <w:rsids>
    <w:rsidRoot w:val="00903049"/>
    <w:rsid w:val="00006B0E"/>
    <w:rsid w:val="000178EE"/>
    <w:rsid w:val="00025C74"/>
    <w:rsid w:val="000302E7"/>
    <w:rsid w:val="00031E3F"/>
    <w:rsid w:val="0003468B"/>
    <w:rsid w:val="00073713"/>
    <w:rsid w:val="000B6573"/>
    <w:rsid w:val="000E2698"/>
    <w:rsid w:val="00123EE3"/>
    <w:rsid w:val="001365CC"/>
    <w:rsid w:val="00136639"/>
    <w:rsid w:val="00161412"/>
    <w:rsid w:val="00187EF9"/>
    <w:rsid w:val="00194530"/>
    <w:rsid w:val="00197F12"/>
    <w:rsid w:val="001B7CB3"/>
    <w:rsid w:val="001C4E56"/>
    <w:rsid w:val="001C6C7B"/>
    <w:rsid w:val="001E053A"/>
    <w:rsid w:val="001E3FC2"/>
    <w:rsid w:val="001F0D09"/>
    <w:rsid w:val="001F3FF1"/>
    <w:rsid w:val="00215704"/>
    <w:rsid w:val="002238DB"/>
    <w:rsid w:val="002450DC"/>
    <w:rsid w:val="00253DBB"/>
    <w:rsid w:val="00257861"/>
    <w:rsid w:val="0027438F"/>
    <w:rsid w:val="00275BF8"/>
    <w:rsid w:val="00282233"/>
    <w:rsid w:val="00290552"/>
    <w:rsid w:val="002B1B94"/>
    <w:rsid w:val="002B3E0C"/>
    <w:rsid w:val="002C720F"/>
    <w:rsid w:val="002F0057"/>
    <w:rsid w:val="00300CAF"/>
    <w:rsid w:val="00305C47"/>
    <w:rsid w:val="00316470"/>
    <w:rsid w:val="00321A1A"/>
    <w:rsid w:val="003229DB"/>
    <w:rsid w:val="00340C7D"/>
    <w:rsid w:val="00343B86"/>
    <w:rsid w:val="00344713"/>
    <w:rsid w:val="00361758"/>
    <w:rsid w:val="00361C30"/>
    <w:rsid w:val="00363782"/>
    <w:rsid w:val="00364FA2"/>
    <w:rsid w:val="00376BEB"/>
    <w:rsid w:val="003844D9"/>
    <w:rsid w:val="00390597"/>
    <w:rsid w:val="003A5337"/>
    <w:rsid w:val="003B79A4"/>
    <w:rsid w:val="003D7C4C"/>
    <w:rsid w:val="003F2C1F"/>
    <w:rsid w:val="003F366F"/>
    <w:rsid w:val="00405133"/>
    <w:rsid w:val="004217E5"/>
    <w:rsid w:val="004263EC"/>
    <w:rsid w:val="00427A12"/>
    <w:rsid w:val="004531BF"/>
    <w:rsid w:val="0047002E"/>
    <w:rsid w:val="004877C6"/>
    <w:rsid w:val="00493EF8"/>
    <w:rsid w:val="004951AE"/>
    <w:rsid w:val="00495E14"/>
    <w:rsid w:val="004A1218"/>
    <w:rsid w:val="004B066B"/>
    <w:rsid w:val="004B0698"/>
    <w:rsid w:val="004B61E1"/>
    <w:rsid w:val="004B64D0"/>
    <w:rsid w:val="004B661F"/>
    <w:rsid w:val="004C372E"/>
    <w:rsid w:val="004D28BE"/>
    <w:rsid w:val="004D4DA8"/>
    <w:rsid w:val="004E0491"/>
    <w:rsid w:val="004E4965"/>
    <w:rsid w:val="00510562"/>
    <w:rsid w:val="00512753"/>
    <w:rsid w:val="00546C5F"/>
    <w:rsid w:val="005663C6"/>
    <w:rsid w:val="00593C51"/>
    <w:rsid w:val="00596C52"/>
    <w:rsid w:val="00597506"/>
    <w:rsid w:val="005A390F"/>
    <w:rsid w:val="005A730A"/>
    <w:rsid w:val="005B40E9"/>
    <w:rsid w:val="005B55A3"/>
    <w:rsid w:val="005B6BF6"/>
    <w:rsid w:val="005C08D7"/>
    <w:rsid w:val="005C74E8"/>
    <w:rsid w:val="005D5173"/>
    <w:rsid w:val="005E010F"/>
    <w:rsid w:val="005E41F1"/>
    <w:rsid w:val="005E4C20"/>
    <w:rsid w:val="006010BD"/>
    <w:rsid w:val="00603A06"/>
    <w:rsid w:val="006160AE"/>
    <w:rsid w:val="00626E25"/>
    <w:rsid w:val="00632AAE"/>
    <w:rsid w:val="00647E08"/>
    <w:rsid w:val="00660AEC"/>
    <w:rsid w:val="00670C53"/>
    <w:rsid w:val="00670D99"/>
    <w:rsid w:val="006725D9"/>
    <w:rsid w:val="00687BBE"/>
    <w:rsid w:val="00696578"/>
    <w:rsid w:val="006A2781"/>
    <w:rsid w:val="006A4891"/>
    <w:rsid w:val="006B168D"/>
    <w:rsid w:val="006C297C"/>
    <w:rsid w:val="006D7729"/>
    <w:rsid w:val="006E23FC"/>
    <w:rsid w:val="006F1B00"/>
    <w:rsid w:val="007023A9"/>
    <w:rsid w:val="00706CC8"/>
    <w:rsid w:val="00713179"/>
    <w:rsid w:val="007133FB"/>
    <w:rsid w:val="00731F00"/>
    <w:rsid w:val="0074415B"/>
    <w:rsid w:val="0075013F"/>
    <w:rsid w:val="00764FF7"/>
    <w:rsid w:val="007660BC"/>
    <w:rsid w:val="00777EDB"/>
    <w:rsid w:val="0079317E"/>
    <w:rsid w:val="007970E4"/>
    <w:rsid w:val="007A1830"/>
    <w:rsid w:val="007B6E45"/>
    <w:rsid w:val="007C0E49"/>
    <w:rsid w:val="007C1DC7"/>
    <w:rsid w:val="007F42AC"/>
    <w:rsid w:val="0080306A"/>
    <w:rsid w:val="00810277"/>
    <w:rsid w:val="00820071"/>
    <w:rsid w:val="00820B83"/>
    <w:rsid w:val="008334A1"/>
    <w:rsid w:val="00844135"/>
    <w:rsid w:val="00866842"/>
    <w:rsid w:val="008765FD"/>
    <w:rsid w:val="00884D18"/>
    <w:rsid w:val="008C4512"/>
    <w:rsid w:val="008C5CD4"/>
    <w:rsid w:val="008F142B"/>
    <w:rsid w:val="008F2053"/>
    <w:rsid w:val="008F57F3"/>
    <w:rsid w:val="00900CA6"/>
    <w:rsid w:val="00903049"/>
    <w:rsid w:val="00922544"/>
    <w:rsid w:val="0092554E"/>
    <w:rsid w:val="00925C62"/>
    <w:rsid w:val="00942B6E"/>
    <w:rsid w:val="00942DF7"/>
    <w:rsid w:val="0096741E"/>
    <w:rsid w:val="00973881"/>
    <w:rsid w:val="00976C0E"/>
    <w:rsid w:val="00982982"/>
    <w:rsid w:val="009870F0"/>
    <w:rsid w:val="00995EE7"/>
    <w:rsid w:val="009B7A86"/>
    <w:rsid w:val="009D60A5"/>
    <w:rsid w:val="009E0C1F"/>
    <w:rsid w:val="009F3BB1"/>
    <w:rsid w:val="009F53CF"/>
    <w:rsid w:val="00A20627"/>
    <w:rsid w:val="00A30FD3"/>
    <w:rsid w:val="00A32890"/>
    <w:rsid w:val="00A41AE8"/>
    <w:rsid w:val="00A43EF0"/>
    <w:rsid w:val="00A4546C"/>
    <w:rsid w:val="00A50D59"/>
    <w:rsid w:val="00A62C8C"/>
    <w:rsid w:val="00A64B85"/>
    <w:rsid w:val="00A82644"/>
    <w:rsid w:val="00A8417E"/>
    <w:rsid w:val="00A862BD"/>
    <w:rsid w:val="00A9261A"/>
    <w:rsid w:val="00A93BD7"/>
    <w:rsid w:val="00AA1CE6"/>
    <w:rsid w:val="00AA63F7"/>
    <w:rsid w:val="00AA6D7A"/>
    <w:rsid w:val="00AD6D69"/>
    <w:rsid w:val="00AE6636"/>
    <w:rsid w:val="00AE7DE7"/>
    <w:rsid w:val="00AF27B8"/>
    <w:rsid w:val="00AF3E4D"/>
    <w:rsid w:val="00B12F20"/>
    <w:rsid w:val="00B163C9"/>
    <w:rsid w:val="00B54DAF"/>
    <w:rsid w:val="00B57D55"/>
    <w:rsid w:val="00B646F1"/>
    <w:rsid w:val="00B90C48"/>
    <w:rsid w:val="00BA4B27"/>
    <w:rsid w:val="00BB49B4"/>
    <w:rsid w:val="00BE3701"/>
    <w:rsid w:val="00BE4959"/>
    <w:rsid w:val="00C01B02"/>
    <w:rsid w:val="00C02E40"/>
    <w:rsid w:val="00C15280"/>
    <w:rsid w:val="00C227DB"/>
    <w:rsid w:val="00C22B5B"/>
    <w:rsid w:val="00C23E1D"/>
    <w:rsid w:val="00C40DEF"/>
    <w:rsid w:val="00C43722"/>
    <w:rsid w:val="00C5601D"/>
    <w:rsid w:val="00C66912"/>
    <w:rsid w:val="00C76560"/>
    <w:rsid w:val="00C833D4"/>
    <w:rsid w:val="00CA0487"/>
    <w:rsid w:val="00CD50E0"/>
    <w:rsid w:val="00CD5C7D"/>
    <w:rsid w:val="00CF0D9E"/>
    <w:rsid w:val="00CF2140"/>
    <w:rsid w:val="00D2189B"/>
    <w:rsid w:val="00D21ACB"/>
    <w:rsid w:val="00D60850"/>
    <w:rsid w:val="00D63A97"/>
    <w:rsid w:val="00D710F6"/>
    <w:rsid w:val="00D82B89"/>
    <w:rsid w:val="00DB1A91"/>
    <w:rsid w:val="00DB2AA6"/>
    <w:rsid w:val="00DB3CC7"/>
    <w:rsid w:val="00DC09AC"/>
    <w:rsid w:val="00DC1252"/>
    <w:rsid w:val="00DC5FC0"/>
    <w:rsid w:val="00E016E7"/>
    <w:rsid w:val="00E04744"/>
    <w:rsid w:val="00E24780"/>
    <w:rsid w:val="00E36EBC"/>
    <w:rsid w:val="00E4247C"/>
    <w:rsid w:val="00E646EA"/>
    <w:rsid w:val="00E6667F"/>
    <w:rsid w:val="00E71BDD"/>
    <w:rsid w:val="00EA31CA"/>
    <w:rsid w:val="00EA437C"/>
    <w:rsid w:val="00EB09DE"/>
    <w:rsid w:val="00ED02D5"/>
    <w:rsid w:val="00EE69E7"/>
    <w:rsid w:val="00EE75A1"/>
    <w:rsid w:val="00EF5269"/>
    <w:rsid w:val="00F0022B"/>
    <w:rsid w:val="00F04B4F"/>
    <w:rsid w:val="00F1358B"/>
    <w:rsid w:val="00F16549"/>
    <w:rsid w:val="00F2287D"/>
    <w:rsid w:val="00F335FE"/>
    <w:rsid w:val="00F764B0"/>
    <w:rsid w:val="00F864B3"/>
    <w:rsid w:val="00F923FC"/>
    <w:rsid w:val="00FB000D"/>
    <w:rsid w:val="00FD1628"/>
    <w:rsid w:val="00FE6B66"/>
    <w:rsid w:val="00FF562B"/>
    <w:rsid w:val="02934E39"/>
    <w:rsid w:val="0791602D"/>
    <w:rsid w:val="096A1A8D"/>
    <w:rsid w:val="09B83EA9"/>
    <w:rsid w:val="145E6D93"/>
    <w:rsid w:val="1B840571"/>
    <w:rsid w:val="1C7321AE"/>
    <w:rsid w:val="2B6B0E4D"/>
    <w:rsid w:val="31183EBE"/>
    <w:rsid w:val="31250FA4"/>
    <w:rsid w:val="35EA3229"/>
    <w:rsid w:val="3AEB4186"/>
    <w:rsid w:val="47027EA2"/>
    <w:rsid w:val="4C640B5F"/>
    <w:rsid w:val="4E485D90"/>
    <w:rsid w:val="4EE730F8"/>
    <w:rsid w:val="50011E81"/>
    <w:rsid w:val="50B85278"/>
    <w:rsid w:val="550B3F3F"/>
    <w:rsid w:val="5AB13ED3"/>
    <w:rsid w:val="5C0F09A2"/>
    <w:rsid w:val="66364518"/>
    <w:rsid w:val="66E23A88"/>
    <w:rsid w:val="6737755E"/>
    <w:rsid w:val="68303BFA"/>
    <w:rsid w:val="6C4E2EFC"/>
    <w:rsid w:val="70781B62"/>
    <w:rsid w:val="73EE01E0"/>
    <w:rsid w:val="76400BDD"/>
    <w:rsid w:val="78DE5AF2"/>
    <w:rsid w:val="79AA7058"/>
    <w:rsid w:val="7F30322F"/>
    <w:rsid w:val="7F6046F8"/>
    <w:rsid w:val="BFCD007D"/>
    <w:rsid w:val="CE37EF8F"/>
    <w:rsid w:val="E79F75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line="360" w:lineRule="auto"/>
      <w:jc w:val="both"/>
    </w:pPr>
    <w:rPr>
      <w:rFonts w:ascii="Times New Roman" w:hAnsi="Times New Roman" w:eastAsia="仿宋_GB2312" w:cs="宋体"/>
      <w:sz w:val="30"/>
      <w:szCs w:val="24"/>
      <w:lang w:val="en-US" w:eastAsia="zh-CN" w:bidi="ar-SA"/>
    </w:rPr>
  </w:style>
  <w:style w:type="paragraph" w:styleId="3">
    <w:name w:val="heading 1"/>
    <w:basedOn w:val="1"/>
    <w:next w:val="1"/>
    <w:link w:val="18"/>
    <w:qFormat/>
    <w:uiPriority w:val="9"/>
    <w:pPr>
      <w:keepNext/>
      <w:keepLines/>
      <w:pageBreakBefore/>
      <w:spacing w:before="100" w:beforeLines="100" w:after="50" w:afterLines="50"/>
      <w:jc w:val="center"/>
      <w:outlineLvl w:val="0"/>
    </w:pPr>
    <w:rPr>
      <w:rFonts w:eastAsia="微软雅黑"/>
      <w:b/>
      <w:bCs/>
      <w:kern w:val="44"/>
      <w:sz w:val="36"/>
      <w:szCs w:val="44"/>
    </w:rPr>
  </w:style>
  <w:style w:type="paragraph" w:styleId="4">
    <w:name w:val="heading 2"/>
    <w:basedOn w:val="1"/>
    <w:next w:val="1"/>
    <w:link w:val="19"/>
    <w:unhideWhenUsed/>
    <w:qFormat/>
    <w:uiPriority w:val="9"/>
    <w:pPr>
      <w:keepNext/>
      <w:keepLines/>
      <w:spacing w:before="240" w:after="240"/>
      <w:jc w:val="center"/>
      <w:outlineLvl w:val="1"/>
    </w:pPr>
    <w:rPr>
      <w:rFonts w:eastAsia="微软雅黑" w:cstheme="majorBidi"/>
      <w:b/>
      <w:bCs/>
      <w:sz w:val="32"/>
      <w:szCs w:val="32"/>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1"/>
    <w:next w:val="1"/>
    <w:qFormat/>
    <w:uiPriority w:val="99"/>
    <w:pPr>
      <w:ind w:firstLine="420"/>
    </w:pPr>
  </w:style>
  <w:style w:type="paragraph" w:styleId="5">
    <w:name w:val="annotation text"/>
    <w:basedOn w:val="1"/>
    <w:link w:val="22"/>
    <w:semiHidden/>
    <w:unhideWhenUsed/>
    <w:qFormat/>
    <w:uiPriority w:val="99"/>
    <w:pPr>
      <w:widowControl w:val="0"/>
      <w:adjustRightInd/>
      <w:snapToGrid/>
      <w:spacing w:line="560" w:lineRule="exact"/>
      <w:ind w:firstLine="200" w:firstLineChars="200"/>
      <w:jc w:val="left"/>
    </w:pPr>
    <w:rPr>
      <w:rFonts w:cstheme="minorBidi"/>
      <w:kern w:val="2"/>
      <w:szCs w:val="22"/>
    </w:rPr>
  </w:style>
  <w:style w:type="paragraph" w:styleId="6">
    <w:name w:val="toc 3"/>
    <w:basedOn w:val="1"/>
    <w:next w:val="1"/>
    <w:unhideWhenUsed/>
    <w:qFormat/>
    <w:uiPriority w:val="39"/>
    <w:pPr>
      <w:adjustRightInd/>
      <w:snapToGrid/>
      <w:spacing w:after="100" w:line="259" w:lineRule="auto"/>
      <w:ind w:left="440"/>
      <w:jc w:val="left"/>
    </w:pPr>
    <w:rPr>
      <w:rFonts w:cs="Times New Roman" w:asciiTheme="minorHAnsi" w:hAnsiTheme="minorHAnsi" w:eastAsiaTheme="minorEastAsia"/>
      <w:sz w:val="22"/>
      <w:szCs w:val="22"/>
    </w:rPr>
  </w:style>
  <w:style w:type="paragraph" w:styleId="7">
    <w:name w:val="footer"/>
    <w:basedOn w:val="1"/>
    <w:link w:val="17"/>
    <w:unhideWhenUsed/>
    <w:qFormat/>
    <w:uiPriority w:val="99"/>
    <w:pPr>
      <w:tabs>
        <w:tab w:val="center" w:pos="4153"/>
        <w:tab w:val="right" w:pos="8306"/>
      </w:tabs>
      <w:spacing w:line="240" w:lineRule="auto"/>
      <w:jc w:val="left"/>
    </w:pPr>
    <w:rPr>
      <w:sz w:val="18"/>
      <w:szCs w:val="18"/>
    </w:rPr>
  </w:style>
  <w:style w:type="paragraph" w:styleId="8">
    <w:name w:val="header"/>
    <w:basedOn w:val="1"/>
    <w:link w:val="16"/>
    <w:unhideWhenUsed/>
    <w:qFormat/>
    <w:uiPriority w:val="99"/>
    <w:pPr>
      <w:pBdr>
        <w:bottom w:val="single" w:color="auto" w:sz="6" w:space="1"/>
      </w:pBdr>
      <w:tabs>
        <w:tab w:val="center" w:pos="4153"/>
        <w:tab w:val="right" w:pos="8306"/>
      </w:tabs>
      <w:spacing w:line="240" w:lineRule="auto"/>
      <w:jc w:val="center"/>
    </w:pPr>
    <w:rPr>
      <w:sz w:val="18"/>
      <w:szCs w:val="18"/>
    </w:rPr>
  </w:style>
  <w:style w:type="paragraph" w:styleId="9">
    <w:name w:val="toc 1"/>
    <w:basedOn w:val="1"/>
    <w:next w:val="1"/>
    <w:unhideWhenUsed/>
    <w:qFormat/>
    <w:uiPriority w:val="39"/>
    <w:pPr>
      <w:tabs>
        <w:tab w:val="left" w:pos="1050"/>
        <w:tab w:val="right" w:leader="dot" w:pos="8296"/>
      </w:tabs>
      <w:spacing w:after="100" w:line="240" w:lineRule="auto"/>
      <w:jc w:val="left"/>
    </w:pPr>
    <w:rPr>
      <w:rFonts w:ascii="微软雅黑" w:hAnsi="微软雅黑" w:eastAsia="微软雅黑" w:cs="Times New Roman"/>
      <w:b/>
      <w:bCs/>
      <w:szCs w:val="30"/>
    </w:rPr>
  </w:style>
  <w:style w:type="paragraph" w:styleId="10">
    <w:name w:val="toc 2"/>
    <w:basedOn w:val="1"/>
    <w:next w:val="1"/>
    <w:unhideWhenUsed/>
    <w:qFormat/>
    <w:uiPriority w:val="39"/>
    <w:pPr>
      <w:adjustRightInd/>
      <w:snapToGrid/>
      <w:spacing w:after="100" w:line="259" w:lineRule="auto"/>
      <w:ind w:left="220"/>
      <w:jc w:val="left"/>
    </w:pPr>
    <w:rPr>
      <w:rFonts w:cs="Times New Roman" w:asciiTheme="minorHAnsi" w:hAnsiTheme="minorHAnsi" w:eastAsiaTheme="minorEastAsia"/>
      <w:sz w:val="22"/>
      <w:szCs w:val="22"/>
    </w:rPr>
  </w:style>
  <w:style w:type="paragraph" w:styleId="11">
    <w:name w:val="annotation subject"/>
    <w:basedOn w:val="5"/>
    <w:next w:val="5"/>
    <w:link w:val="24"/>
    <w:semiHidden/>
    <w:unhideWhenUsed/>
    <w:qFormat/>
    <w:uiPriority w:val="99"/>
    <w:pPr>
      <w:widowControl/>
      <w:adjustRightInd w:val="0"/>
      <w:snapToGrid w:val="0"/>
      <w:spacing w:line="360" w:lineRule="auto"/>
      <w:ind w:firstLine="0" w:firstLineChars="0"/>
    </w:pPr>
    <w:rPr>
      <w:rFonts w:cs="宋体"/>
      <w:b/>
      <w:bCs/>
      <w:kern w:val="0"/>
      <w:szCs w:val="24"/>
    </w:rPr>
  </w:style>
  <w:style w:type="character" w:styleId="14">
    <w:name w:val="Hyperlink"/>
    <w:basedOn w:val="13"/>
    <w:unhideWhenUsed/>
    <w:qFormat/>
    <w:uiPriority w:val="99"/>
    <w:rPr>
      <w:color w:val="0563C1" w:themeColor="hyperlink"/>
      <w:u w:val="single"/>
      <w14:textFill>
        <w14:solidFill>
          <w14:schemeClr w14:val="hlink"/>
        </w14:solidFill>
      </w14:textFill>
    </w:rPr>
  </w:style>
  <w:style w:type="character" w:styleId="15">
    <w:name w:val="annotation reference"/>
    <w:basedOn w:val="13"/>
    <w:semiHidden/>
    <w:unhideWhenUsed/>
    <w:qFormat/>
    <w:uiPriority w:val="99"/>
    <w:rPr>
      <w:sz w:val="21"/>
      <w:szCs w:val="21"/>
    </w:rPr>
  </w:style>
  <w:style w:type="character" w:customStyle="1" w:styleId="16">
    <w:name w:val="页眉 字符"/>
    <w:basedOn w:val="13"/>
    <w:link w:val="8"/>
    <w:qFormat/>
    <w:uiPriority w:val="99"/>
    <w:rPr>
      <w:rFonts w:ascii="Times New Roman" w:hAnsi="Times New Roman" w:eastAsia="宋体" w:cs="宋体"/>
      <w:kern w:val="0"/>
      <w:sz w:val="18"/>
      <w:szCs w:val="18"/>
    </w:rPr>
  </w:style>
  <w:style w:type="character" w:customStyle="1" w:styleId="17">
    <w:name w:val="页脚 字符"/>
    <w:basedOn w:val="13"/>
    <w:link w:val="7"/>
    <w:qFormat/>
    <w:uiPriority w:val="99"/>
    <w:rPr>
      <w:rFonts w:ascii="Times New Roman" w:hAnsi="Times New Roman" w:eastAsia="宋体" w:cs="宋体"/>
      <w:kern w:val="0"/>
      <w:sz w:val="18"/>
      <w:szCs w:val="18"/>
    </w:rPr>
  </w:style>
  <w:style w:type="character" w:customStyle="1" w:styleId="18">
    <w:name w:val="标题 1 字符"/>
    <w:basedOn w:val="13"/>
    <w:link w:val="3"/>
    <w:qFormat/>
    <w:uiPriority w:val="9"/>
    <w:rPr>
      <w:rFonts w:ascii="Times New Roman" w:hAnsi="Times New Roman" w:eastAsia="微软雅黑" w:cs="宋体"/>
      <w:b/>
      <w:bCs/>
      <w:kern w:val="44"/>
      <w:sz w:val="36"/>
      <w:szCs w:val="44"/>
    </w:rPr>
  </w:style>
  <w:style w:type="character" w:customStyle="1" w:styleId="19">
    <w:name w:val="标题 2 字符"/>
    <w:basedOn w:val="13"/>
    <w:link w:val="4"/>
    <w:qFormat/>
    <w:uiPriority w:val="9"/>
    <w:rPr>
      <w:rFonts w:ascii="Times New Roman" w:hAnsi="Times New Roman" w:eastAsia="微软雅黑" w:cstheme="majorBidi"/>
      <w:b/>
      <w:bCs/>
      <w:kern w:val="0"/>
      <w:sz w:val="32"/>
      <w:szCs w:val="32"/>
    </w:rPr>
  </w:style>
  <w:style w:type="paragraph" w:styleId="20">
    <w:name w:val="List Paragraph"/>
    <w:basedOn w:val="1"/>
    <w:qFormat/>
    <w:uiPriority w:val="34"/>
    <w:pPr>
      <w:ind w:firstLine="420" w:firstLineChars="200"/>
    </w:pPr>
  </w:style>
  <w:style w:type="paragraph" w:customStyle="1" w:styleId="21">
    <w:name w:val="TOC 标题1"/>
    <w:basedOn w:val="3"/>
    <w:next w:val="1"/>
    <w:unhideWhenUsed/>
    <w:qFormat/>
    <w:uiPriority w:val="39"/>
    <w:pPr>
      <w:pageBreakBefore w:val="0"/>
      <w:adjustRightInd/>
      <w:snapToGrid/>
      <w:spacing w:before="240" w:beforeLines="0" w:after="0" w:afterLines="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22">
    <w:name w:val="批注文字 字符"/>
    <w:basedOn w:val="13"/>
    <w:link w:val="5"/>
    <w:semiHidden/>
    <w:qFormat/>
    <w:uiPriority w:val="99"/>
    <w:rPr>
      <w:rFonts w:ascii="Times New Roman" w:hAnsi="Times New Roman" w:eastAsia="仿宋_GB2312"/>
      <w:sz w:val="30"/>
    </w:rPr>
  </w:style>
  <w:style w:type="character" w:customStyle="1" w:styleId="23">
    <w:name w:val="NormalCharacter"/>
    <w:qFormat/>
    <w:uiPriority w:val="0"/>
    <w:rPr>
      <w:rFonts w:ascii="Calibri" w:hAnsi="Calibri" w:eastAsia="宋体" w:cs="Times New Roman"/>
      <w:kern w:val="2"/>
      <w:sz w:val="21"/>
      <w:szCs w:val="24"/>
      <w:lang w:val="en-US" w:eastAsia="zh-CN" w:bidi="ar-SA"/>
    </w:rPr>
  </w:style>
  <w:style w:type="character" w:customStyle="1" w:styleId="24">
    <w:name w:val="批注主题 字符"/>
    <w:basedOn w:val="22"/>
    <w:link w:val="11"/>
    <w:semiHidden/>
    <w:qFormat/>
    <w:uiPriority w:val="99"/>
    <w:rPr>
      <w:rFonts w:ascii="Times New Roman" w:hAnsi="Times New Roman" w:eastAsia="仿宋_GB2312" w:cs="宋体"/>
      <w:b/>
      <w:bCs/>
      <w:kern w:val="0"/>
      <w:sz w:val="30"/>
      <w:szCs w:val="24"/>
    </w:rPr>
  </w:style>
  <w:style w:type="paragraph" w:customStyle="1" w:styleId="25">
    <w:name w:val="修订1"/>
    <w:hidden/>
    <w:semiHidden/>
    <w:qFormat/>
    <w:uiPriority w:val="99"/>
    <w:rPr>
      <w:rFonts w:ascii="Times New Roman" w:hAnsi="Times New Roman" w:eastAsia="仿宋_GB2312" w:cs="宋体"/>
      <w:sz w:val="30"/>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5071</Words>
  <Characters>28906</Characters>
  <Lines>240</Lines>
  <Paragraphs>67</Paragraphs>
  <TotalTime>4</TotalTime>
  <ScaleCrop>false</ScaleCrop>
  <LinksUpToDate>false</LinksUpToDate>
  <CharactersWithSpaces>33910</CharactersWithSpaces>
  <Application>WPS Office_11.8.2.12128_F1E327BC-269C-435d-A152-05C5408002CA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2023-06-07T06:39:00Z</dcterms:created>
  <dc:creator>达</dc:creator>
  <cp:lastModifiedBy>ZFBXXK</cp:lastModifiedBy>
  <dcterms:modified xsi:type="dcterms:W3CDTF">2025-06-25T14:46:28Z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2052-11.8.2.12128</vt:lpwstr>
  </property>
  <property fmtid="{D5CDD505-2E9C-101B-9397-08002B2CF9AE}" pid="3" name="ICV">
    <vt:lpwstr>8C795BBE17C21C2B989A5B68FC00139F</vt:lpwstr>
  </property>
</Properties>
</file>