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满洲里市卫生健康委员会2020年政府信息公开工作年度报告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根据《中华人民共和国政府信息公开条例》(以下简称《条例》)的规定，现公布</w:t>
      </w:r>
      <w:r>
        <w:rPr>
          <w:rFonts w:hint="eastAsia" w:ascii="仿宋_GB2312" w:hAnsi="仿宋_GB2312" w:eastAsia="仿宋_GB2312" w:cs="仿宋_GB2312"/>
          <w:sz w:val="32"/>
          <w:szCs w:val="32"/>
          <w:lang w:val="en-US" w:eastAsia="zh-CN"/>
        </w:rPr>
        <w:t>满洲里市卫生健康委员会2020年政府信息公开工作年度报告</w:t>
      </w:r>
      <w:r>
        <w:rPr>
          <w:rFonts w:hint="eastAsia" w:ascii="仿宋_GB2312" w:hAnsi="仿宋_GB2312" w:eastAsia="仿宋_GB2312" w:cs="仿宋_GB2312"/>
          <w:sz w:val="32"/>
          <w:szCs w:val="32"/>
        </w:rPr>
        <w:t>。本报告综合了</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满洲里市卫生健康委员会</w:t>
      </w:r>
      <w:r>
        <w:rPr>
          <w:rFonts w:hint="eastAsia" w:ascii="仿宋_GB2312" w:hAnsi="仿宋_GB2312" w:eastAsia="仿宋_GB2312" w:cs="仿宋_GB2312"/>
          <w:sz w:val="32"/>
          <w:szCs w:val="32"/>
        </w:rPr>
        <w:t>政府信息公开总体情况，主动公开政府信息情况，收到和处理政府信息公开申请情况，政府信息公开行政复议、行政诉讼情况，存在的主要问题及改进情况。所列数据统计期限为20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年1月1日至20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年12月31日。本年度报告电子版可以从</w:t>
      </w:r>
      <w:r>
        <w:rPr>
          <w:rFonts w:hint="eastAsia" w:ascii="仿宋_GB2312" w:hAnsi="仿宋_GB2312" w:eastAsia="仿宋_GB2312" w:cs="仿宋_GB2312"/>
          <w:sz w:val="32"/>
          <w:szCs w:val="32"/>
          <w:lang w:eastAsia="zh-CN"/>
        </w:rPr>
        <w:t>满洲里市人民</w:t>
      </w:r>
      <w:r>
        <w:rPr>
          <w:rFonts w:hint="eastAsia" w:ascii="仿宋_GB2312" w:hAnsi="仿宋_GB2312" w:eastAsia="仿宋_GB2312" w:cs="仿宋_GB2312"/>
          <w:sz w:val="32"/>
          <w:szCs w:val="32"/>
        </w:rPr>
        <w:t>政府门户网站（http://www.manzhouli.gov.cn/）下载。如对本年度报告有疑问，请与</w:t>
      </w:r>
      <w:r>
        <w:rPr>
          <w:rFonts w:hint="eastAsia" w:ascii="仿宋_GB2312" w:hAnsi="仿宋_GB2312" w:eastAsia="仿宋_GB2312" w:cs="仿宋_GB2312"/>
          <w:sz w:val="32"/>
          <w:szCs w:val="32"/>
          <w:lang w:eastAsia="zh-CN"/>
        </w:rPr>
        <w:t>满洲里市</w:t>
      </w:r>
      <w:r>
        <w:rPr>
          <w:rFonts w:hint="eastAsia" w:ascii="仿宋_GB2312" w:hAnsi="仿宋_GB2312" w:eastAsia="仿宋_GB2312" w:cs="仿宋_GB2312"/>
          <w:sz w:val="32"/>
          <w:szCs w:val="32"/>
          <w:lang w:val="en-US" w:eastAsia="zh-CN"/>
        </w:rPr>
        <w:t>卫生健康委员会</w:t>
      </w:r>
      <w:r>
        <w:rPr>
          <w:rFonts w:hint="eastAsia" w:ascii="仿宋_GB2312" w:hAnsi="仿宋_GB2312" w:eastAsia="仿宋_GB2312" w:cs="仿宋_GB2312"/>
          <w:sz w:val="32"/>
          <w:szCs w:val="32"/>
          <w:lang w:eastAsia="zh-CN"/>
        </w:rPr>
        <w:t>联系</w:t>
      </w:r>
      <w:r>
        <w:rPr>
          <w:rFonts w:hint="eastAsia" w:ascii="仿宋_GB2312" w:hAnsi="仿宋_GB2312" w:eastAsia="仿宋_GB2312" w:cs="仿宋_GB2312"/>
          <w:sz w:val="32"/>
          <w:szCs w:val="32"/>
        </w:rPr>
        <w:t>（电话：047</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6262916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满洲里市</w:t>
      </w:r>
      <w:r>
        <w:rPr>
          <w:rFonts w:hint="eastAsia" w:ascii="仿宋_GB2312" w:hAnsi="仿宋_GB2312" w:eastAsia="仿宋_GB2312" w:cs="仿宋_GB2312"/>
          <w:sz w:val="32"/>
          <w:szCs w:val="32"/>
          <w:lang w:val="en-US" w:eastAsia="zh-CN"/>
        </w:rPr>
        <w:t>卫生健康委员会全面贯彻习近平总书记重要指示精神和“人民至上”“生命至上”理念，</w:t>
      </w:r>
      <w:r>
        <w:rPr>
          <w:rFonts w:hint="eastAsia" w:ascii="仿宋_GB2312" w:hAnsi="仿宋_GB2312" w:eastAsia="仿宋_GB2312" w:cs="仿宋_GB2312"/>
          <w:sz w:val="32"/>
          <w:szCs w:val="32"/>
        </w:rPr>
        <w:t>坚决贯彻落实党中央、国务院</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eastAsia="zh-CN"/>
        </w:rPr>
        <w:t>内蒙古自治区</w:t>
      </w:r>
      <w:r>
        <w:rPr>
          <w:rFonts w:hint="eastAsia" w:ascii="仿宋_GB2312" w:hAnsi="仿宋_GB2312" w:eastAsia="仿宋_GB2312" w:cs="仿宋_GB2312"/>
          <w:sz w:val="32"/>
          <w:szCs w:val="32"/>
        </w:rPr>
        <w:t>全面推进政务公开</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的精神，坚持“以公开为常态、不公开为例外”</w:t>
      </w:r>
      <w:r>
        <w:rPr>
          <w:rFonts w:hint="eastAsia" w:ascii="仿宋_GB2312" w:hAnsi="仿宋_GB2312" w:eastAsia="仿宋_GB2312" w:cs="仿宋_GB2312"/>
          <w:sz w:val="32"/>
          <w:szCs w:val="32"/>
          <w:lang w:eastAsia="zh-CN"/>
        </w:rPr>
        <w:t>的工作原则</w:t>
      </w:r>
      <w:r>
        <w:rPr>
          <w:rFonts w:hint="eastAsia" w:ascii="仿宋_GB2312" w:hAnsi="仿宋_GB2312" w:eastAsia="仿宋_GB2312" w:cs="仿宋_GB2312"/>
          <w:sz w:val="32"/>
          <w:szCs w:val="32"/>
        </w:rPr>
        <w:t>，以学习宣传贯彻落实</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《条例》为重点，加大政府信息公开力度，既在公开数量上有所提升，也在公开质量上有所优化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政府信息公开水平不断提升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严格落实《条例》要求。根据新修订《条例》和政务公开工作新要求、新部署，及时调整《政府信息公开指南》《政府信息公开目录》，明确公开事项名称、公开内容、公开主体、公开时限、公开渠道、公开依据等要素，确保政府信息公开及时准确。</w:t>
      </w:r>
      <w:r>
        <w:rPr>
          <w:rFonts w:hint="eastAsia" w:ascii="仿宋_GB2312" w:hAnsi="仿宋_GB2312" w:eastAsia="仿宋_GB2312" w:cs="仿宋_GB2312"/>
          <w:sz w:val="32"/>
          <w:szCs w:val="32"/>
          <w:lang w:val="en-US" w:eastAsia="zh-CN"/>
        </w:rPr>
        <w:t>2020年市卫生健康委公开文件类信息44件、</w:t>
      </w:r>
      <w:r>
        <w:rPr>
          <w:rFonts w:hint="eastAsia" w:ascii="仿宋_GB2312" w:hAnsi="仿宋_GB2312" w:eastAsia="仿宋_GB2312" w:cs="仿宋_GB2312"/>
          <w:sz w:val="32"/>
          <w:szCs w:val="32"/>
        </w:rPr>
        <w:t>预决算信息2</w:t>
      </w:r>
      <w:r>
        <w:rPr>
          <w:rFonts w:hint="eastAsia" w:ascii="仿宋_GB2312" w:hAnsi="仿宋_GB2312" w:eastAsia="仿宋_GB2312" w:cs="仿宋_GB2312"/>
          <w:sz w:val="32"/>
          <w:szCs w:val="32"/>
          <w:lang w:val="en-US" w:eastAsia="zh-CN"/>
        </w:rPr>
        <w:t>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建议提案</w:t>
      </w:r>
      <w:r>
        <w:rPr>
          <w:rFonts w:hint="eastAsia" w:ascii="仿宋_GB2312" w:hAnsi="仿宋_GB2312" w:eastAsia="仿宋_GB2312" w:cs="仿宋_GB2312"/>
          <w:sz w:val="32"/>
          <w:szCs w:val="32"/>
          <w:lang w:val="en-US" w:eastAsia="zh-CN"/>
        </w:rPr>
        <w:t>21件。</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继续加强政策解读发布工作。全区各级行政机关认真落实《内蒙古自治区行政机关政策性文件解读工作办法》(内政办发〔2017〕5号)文件精神，将政策解读工作作为政策性文件公开的必要环节。</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市卫生健康委以文字形式开展</w:t>
      </w:r>
      <w:r>
        <w:rPr>
          <w:rFonts w:hint="eastAsia" w:ascii="仿宋_GB2312" w:hAnsi="仿宋_GB2312" w:eastAsia="仿宋_GB2312" w:cs="仿宋_GB2312"/>
          <w:sz w:val="32"/>
          <w:szCs w:val="32"/>
        </w:rPr>
        <w:t>政策解读1件。</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持续深化重点领域信息公开。</w:t>
      </w:r>
      <w:r>
        <w:rPr>
          <w:rFonts w:hint="eastAsia" w:ascii="仿宋_GB2312" w:hAnsi="仿宋_GB2312" w:eastAsia="仿宋_GB2312" w:cs="仿宋_GB2312"/>
          <w:sz w:val="32"/>
          <w:szCs w:val="32"/>
          <w:lang w:val="en-US" w:eastAsia="zh-CN"/>
        </w:rPr>
        <w:t>围绕2020年</w:t>
      </w:r>
      <w:r>
        <w:rPr>
          <w:rFonts w:hint="eastAsia" w:ascii="仿宋_GB2312" w:hAnsi="仿宋_GB2312" w:eastAsia="仿宋_GB2312" w:cs="仿宋_GB2312"/>
          <w:sz w:val="32"/>
          <w:szCs w:val="32"/>
        </w:rPr>
        <w:t>重点任务，</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rPr>
        <w:t>重点民生领域信息进行全面公开，在</w:t>
      </w:r>
      <w:r>
        <w:rPr>
          <w:rFonts w:hint="eastAsia" w:ascii="仿宋_GB2312" w:hAnsi="仿宋_GB2312" w:eastAsia="仿宋_GB2312" w:cs="仿宋_GB2312"/>
          <w:sz w:val="32"/>
          <w:szCs w:val="32"/>
          <w:lang w:val="en-US" w:eastAsia="zh-CN"/>
        </w:rPr>
        <w:t>满洲里市</w:t>
      </w:r>
      <w:r>
        <w:rPr>
          <w:rFonts w:hint="eastAsia" w:ascii="仿宋_GB2312" w:hAnsi="仿宋_GB2312" w:eastAsia="仿宋_GB2312" w:cs="仿宋_GB2312"/>
          <w:sz w:val="32"/>
          <w:szCs w:val="32"/>
        </w:rPr>
        <w:t>政府门户网站公开</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370</w:t>
      </w:r>
      <w:bookmarkStart w:id="0" w:name="_GoBack"/>
      <w:bookmarkEnd w:id="0"/>
      <w:r>
        <w:rPr>
          <w:rFonts w:hint="eastAsia" w:ascii="仿宋_GB2312" w:hAnsi="仿宋_GB2312" w:eastAsia="仿宋_GB2312" w:cs="仿宋_GB2312"/>
          <w:sz w:val="32"/>
          <w:szCs w:val="32"/>
        </w:rPr>
        <w:t>余条。</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积极推进“五公开”。根据深化“放管服”改革的要求和机构改革后部门职能的调整情况，</w:t>
      </w:r>
      <w:r>
        <w:rPr>
          <w:rFonts w:hint="eastAsia" w:ascii="仿宋_GB2312" w:hAnsi="仿宋_GB2312" w:eastAsia="仿宋_GB2312" w:cs="仿宋_GB2312"/>
          <w:sz w:val="32"/>
          <w:szCs w:val="32"/>
          <w:lang w:val="en-US" w:eastAsia="zh-CN"/>
        </w:rPr>
        <w:t>梳理并及时公开本级权责清单486条，</w:t>
      </w:r>
      <w:r>
        <w:rPr>
          <w:rFonts w:hint="eastAsia" w:ascii="仿宋_GB2312" w:hAnsi="仿宋_GB2312" w:eastAsia="仿宋_GB2312" w:cs="仿宋_GB2312"/>
          <w:sz w:val="32"/>
          <w:szCs w:val="32"/>
        </w:rPr>
        <w:t>按照“谁执法、谁公示”的原则，</w:t>
      </w:r>
      <w:r>
        <w:rPr>
          <w:rFonts w:hint="eastAsia" w:ascii="仿宋_GB2312" w:hAnsi="仿宋_GB2312" w:eastAsia="仿宋_GB2312" w:cs="仿宋_GB2312"/>
          <w:sz w:val="32"/>
          <w:szCs w:val="32"/>
          <w:lang w:val="en-US" w:eastAsia="zh-CN"/>
        </w:rPr>
        <w:t>公开行政处罚信息13条、</w:t>
      </w:r>
      <w:r>
        <w:rPr>
          <w:rFonts w:hint="eastAsia" w:ascii="仿宋_GB2312" w:hAnsi="仿宋_GB2312" w:eastAsia="仿宋_GB2312" w:cs="仿宋_GB2312"/>
          <w:sz w:val="32"/>
          <w:szCs w:val="32"/>
        </w:rPr>
        <w:t>水质监测公告</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8" w:leftChars="304" w:right="0" w:rightChars="0" w:firstLine="0" w:firstLine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根据新修订的《条例》，及时更新调整政府信息依申请公开指南，修订《</w:t>
      </w:r>
      <w:r>
        <w:rPr>
          <w:rFonts w:hint="eastAsia" w:ascii="仿宋_GB2312" w:hAnsi="仿宋_GB2312" w:eastAsia="仿宋_GB2312" w:cs="仿宋_GB2312"/>
          <w:sz w:val="32"/>
          <w:szCs w:val="32"/>
          <w:lang w:val="en-US" w:eastAsia="zh-CN"/>
        </w:rPr>
        <w:t>满洲里市卫生健康委员会</w:t>
      </w:r>
      <w:r>
        <w:rPr>
          <w:rFonts w:hint="eastAsia" w:ascii="仿宋_GB2312" w:hAnsi="仿宋_GB2312" w:eastAsia="仿宋_GB2312" w:cs="仿宋_GB2312"/>
          <w:sz w:val="32"/>
          <w:szCs w:val="32"/>
        </w:rPr>
        <w:t>依申请公开流程》，规范政府信息</w:t>
      </w:r>
      <w:r>
        <w:rPr>
          <w:rFonts w:hint="eastAsia" w:ascii="仿宋_GB2312" w:hAnsi="仿宋_GB2312" w:eastAsia="仿宋_GB2312" w:cs="仿宋_GB2312"/>
          <w:sz w:val="32"/>
          <w:szCs w:val="32"/>
          <w:lang w:val="en-US" w:eastAsia="zh-CN"/>
        </w:rPr>
        <w:t>依申请</w:t>
      </w:r>
      <w:r>
        <w:rPr>
          <w:rFonts w:hint="eastAsia" w:ascii="仿宋_GB2312" w:hAnsi="仿宋_GB2312" w:eastAsia="仿宋_GB2312" w:cs="仿宋_GB2312"/>
          <w:sz w:val="32"/>
          <w:szCs w:val="32"/>
        </w:rPr>
        <w:t>公开办理程序，</w:t>
      </w:r>
      <w:r>
        <w:rPr>
          <w:rFonts w:hint="eastAsia" w:ascii="仿宋_GB2312" w:hAnsi="仿宋_GB2312" w:eastAsia="仿宋_GB2312" w:cs="仿宋_GB2312"/>
          <w:sz w:val="32"/>
          <w:szCs w:val="32"/>
          <w:lang w:val="en-US" w:eastAsia="zh-CN"/>
        </w:rPr>
        <w:t>畅通依申请公开渠道，2020年市卫生健康委无依申请公开事项。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4" w:right="0" w:rightChars="0"/>
        <w:jc w:val="both"/>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积极推进政府信息公开规范管理。</w:t>
      </w:r>
      <w:r>
        <w:rPr>
          <w:rFonts w:hint="eastAsia" w:ascii="仿宋_GB2312" w:hAnsi="仿宋_GB2312" w:eastAsia="仿宋_GB2312" w:cs="仿宋_GB2312"/>
          <w:sz w:val="32"/>
          <w:szCs w:val="32"/>
          <w:lang w:eastAsia="zh-CN"/>
        </w:rPr>
        <w:t>严格政府信息公开发布审核机制，</w:t>
      </w:r>
      <w:r>
        <w:rPr>
          <w:rFonts w:hint="eastAsia" w:ascii="仿宋_GB2312" w:hAnsi="仿宋_GB2312" w:eastAsia="仿宋_GB2312" w:cs="仿宋_GB2312"/>
          <w:sz w:val="32"/>
          <w:szCs w:val="32"/>
          <w:lang w:val="en-US" w:eastAsia="zh-CN"/>
        </w:rPr>
        <w:t>建立发布人、审核人信息台账，政府信息公开平台实行2级账号审核制度，确保公开信息的准确性，严肃性。</w:t>
      </w:r>
      <w:r>
        <w:rPr>
          <w:rFonts w:hint="eastAsia" w:ascii="仿宋_GB2312" w:hAnsi="仿宋_GB2312" w:eastAsia="仿宋_GB2312" w:cs="仿宋_GB2312"/>
          <w:sz w:val="32"/>
          <w:szCs w:val="32"/>
        </w:rPr>
        <w:t>严格落实《内蒙古自治区人民政府办公厅关于进一步加强和规范政府信息公开工作的意见》，按照政府信息公开范围与原则、政府信息公开工作流程，通过政府门户网站依法、准确、及时公开政府信息。</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b/>
          <w:bCs/>
          <w:sz w:val="32"/>
          <w:szCs w:val="32"/>
          <w:lang w:val="en-US" w:eastAsia="zh-CN"/>
        </w:rPr>
        <w:t xml:space="preserve">    （四）</w:t>
      </w:r>
      <w:r>
        <w:rPr>
          <w:rFonts w:hint="eastAsia" w:ascii="楷体_GB2312" w:hAnsi="楷体_GB2312" w:eastAsia="楷体_GB2312" w:cs="楷体_GB2312"/>
          <w:b/>
          <w:bCs/>
          <w:sz w:val="32"/>
          <w:szCs w:val="32"/>
        </w:rPr>
        <w:t>平台建设</w:t>
      </w:r>
      <w:r>
        <w:rPr>
          <w:rFonts w:hint="eastAsia" w:ascii="楷体_GB2312" w:hAnsi="楷体_GB2312" w:eastAsia="楷体_GB2312" w:cs="楷体_GB2312"/>
          <w:b/>
          <w:bCs/>
          <w:sz w:val="32"/>
          <w:szCs w:val="32"/>
          <w:lang w:val="en-US" w:eastAsia="zh-CN"/>
        </w:rPr>
        <w:t>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充分发挥政府网站政府信息公开第一平台作用，</w:t>
      </w:r>
      <w:r>
        <w:rPr>
          <w:rFonts w:hint="eastAsia" w:ascii="仿宋_GB2312" w:hAnsi="仿宋_GB2312" w:eastAsia="仿宋_GB2312" w:cs="仿宋_GB2312"/>
          <w:sz w:val="32"/>
          <w:szCs w:val="32"/>
          <w:lang w:val="en-US" w:eastAsia="zh-CN"/>
        </w:rPr>
        <w:t>及时更新</w:t>
      </w:r>
      <w:r>
        <w:rPr>
          <w:rFonts w:hint="eastAsia" w:ascii="仿宋_GB2312" w:hAnsi="仿宋_GB2312" w:eastAsia="仿宋_GB2312" w:cs="仿宋_GB2312"/>
          <w:sz w:val="32"/>
          <w:szCs w:val="32"/>
        </w:rPr>
        <w:t>完善现有模块、栏目，依托政府网站平台将领导简介、机构职能、政府文件、政策解读、建议提案办理公开、重点领域信息公开权责清单等重要政务信息在政务公开专栏中集中展示。</w:t>
      </w:r>
      <w:r>
        <w:rPr>
          <w:rFonts w:hint="eastAsia" w:ascii="仿宋_GB2312" w:hAnsi="仿宋_GB2312" w:eastAsia="仿宋_GB2312" w:cs="仿宋_GB2312"/>
          <w:sz w:val="32"/>
          <w:szCs w:val="32"/>
        </w:rPr>
        <w:br w:type="textWrapping"/>
      </w:r>
      <w:r>
        <w:rPr>
          <w:rFonts w:hint="eastAsia" w:ascii="楷体_GB2312" w:hAnsi="楷体_GB2312" w:eastAsia="楷体_GB2312" w:cs="楷体_GB2312"/>
          <w:b/>
          <w:bCs/>
          <w:sz w:val="32"/>
          <w:szCs w:val="32"/>
          <w:lang w:val="en-US" w:eastAsia="zh-CN"/>
        </w:rPr>
        <w:t xml:space="preserve">    （五）监督保障情况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完善组织机构。建立了由委主要领导任组长，分管副主任为副组长，委机关各</w:t>
      </w:r>
      <w:r>
        <w:rPr>
          <w:rFonts w:hint="eastAsia" w:ascii="仿宋_GB2312" w:hAnsi="仿宋_GB2312" w:eastAsia="仿宋_GB2312" w:cs="仿宋_GB2312"/>
          <w:sz w:val="32"/>
          <w:szCs w:val="32"/>
          <w:lang w:val="en-US" w:eastAsia="zh-CN"/>
        </w:rPr>
        <w:t>科室</w:t>
      </w:r>
      <w:r>
        <w:rPr>
          <w:rFonts w:hint="eastAsia" w:ascii="仿宋_GB2312" w:hAnsi="仿宋_GB2312" w:eastAsia="仿宋_GB2312" w:cs="仿宋_GB2312"/>
          <w:sz w:val="32"/>
          <w:szCs w:val="32"/>
        </w:rPr>
        <w:t>负责人为成员的政务公开工作领导小组，明确了各科室的职责与分工，并指定人员，负责具体工作的开展。</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制度建设。根据满洲里市政府相关规定和统一要求，建立健全政府信息主动公开、政务公开依申请公开、政府信息保密审查、信息发布登记等相关制度，做到了人员到位、措施到位、责任到位，使我委政府信息公开工作走上规范化、制度化。</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二、主动公开政府信息情况</w:t>
      </w:r>
    </w:p>
    <w:tbl>
      <w:tblPr>
        <w:tblStyle w:val="11"/>
        <w:tblW w:w="9041" w:type="dxa"/>
        <w:jc w:val="center"/>
        <w:tblInd w:w="-901" w:type="dxa"/>
        <w:tblLayout w:type="fixed"/>
        <w:tblCellMar>
          <w:top w:w="0" w:type="dxa"/>
          <w:left w:w="108" w:type="dxa"/>
          <w:bottom w:w="0" w:type="dxa"/>
          <w:right w:w="108" w:type="dxa"/>
        </w:tblCellMar>
      </w:tblPr>
      <w:tblGrid>
        <w:gridCol w:w="4014"/>
        <w:gridCol w:w="1875"/>
        <w:gridCol w:w="6"/>
        <w:gridCol w:w="1265"/>
        <w:gridCol w:w="1881"/>
      </w:tblGrid>
      <w:tr>
        <w:tblPrEx>
          <w:tblLayout w:type="fixed"/>
        </w:tblPrEx>
        <w:trPr>
          <w:trHeight w:val="495" w:hRule="atLeast"/>
          <w:jc w:val="center"/>
        </w:trPr>
        <w:tc>
          <w:tcPr>
            <w:tcW w:w="9041"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第二十条第（一）项</w:t>
            </w:r>
          </w:p>
        </w:tc>
      </w:tr>
      <w:tr>
        <w:tblPrEx>
          <w:tblLayout w:type="fixed"/>
          <w:tblCellMar>
            <w:top w:w="0" w:type="dxa"/>
            <w:left w:w="108" w:type="dxa"/>
            <w:bottom w:w="0" w:type="dxa"/>
            <w:right w:w="108" w:type="dxa"/>
          </w:tblCellMar>
        </w:tblPrEx>
        <w:trPr>
          <w:trHeight w:val="882"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本年新</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kern w:val="0"/>
                <w:sz w:val="20"/>
                <w:szCs w:val="20"/>
              </w:rPr>
              <w:t>制作数量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本年新</w:t>
            </w:r>
            <w:r>
              <w:rPr>
                <w:rFonts w:hint="eastAsia" w:asciiTheme="minorEastAsia" w:hAnsiTheme="minorEastAsia" w:eastAsiaTheme="minorEastAsia" w:cstheme="minorEastAsia"/>
                <w:color w:val="000000"/>
                <w:kern w:val="0"/>
                <w:sz w:val="20"/>
                <w:szCs w:val="20"/>
              </w:rPr>
              <w:br w:type="textWrapping"/>
            </w:r>
            <w:r>
              <w:rPr>
                <w:rFonts w:hint="eastAsia" w:asciiTheme="minorEastAsia" w:hAnsiTheme="minorEastAsia" w:eastAsiaTheme="minorEastAsia" w:cstheme="minorEastAsia"/>
                <w:kern w:val="0"/>
                <w:sz w:val="20"/>
                <w:szCs w:val="20"/>
              </w:rPr>
              <w:t>公开数量</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对外公开总数量</w:t>
            </w:r>
          </w:p>
        </w:tc>
      </w:tr>
      <w:tr>
        <w:tblPrEx>
          <w:tblLayout w:type="fixed"/>
          <w:tblCellMar>
            <w:top w:w="0" w:type="dxa"/>
            <w:left w:w="108" w:type="dxa"/>
            <w:bottom w:w="0" w:type="dxa"/>
            <w:right w:w="108" w:type="dxa"/>
          </w:tblCellMar>
        </w:tblPrEx>
        <w:trPr>
          <w:trHeight w:val="523"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规章</w:t>
            </w:r>
          </w:p>
        </w:tc>
        <w:tc>
          <w:tcPr>
            <w:tcW w:w="187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r>
      <w:tr>
        <w:tblPrEx>
          <w:tblLayout w:type="fixed"/>
          <w:tblCellMar>
            <w:top w:w="0" w:type="dxa"/>
            <w:left w:w="108" w:type="dxa"/>
            <w:bottom w:w="0" w:type="dxa"/>
            <w:right w:w="108" w:type="dxa"/>
          </w:tblCellMar>
        </w:tblPrEx>
        <w:trPr>
          <w:trHeight w:val="471"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规范性文件</w:t>
            </w:r>
          </w:p>
        </w:tc>
        <w:tc>
          <w:tcPr>
            <w:tcW w:w="1875"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27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r>
      <w:tr>
        <w:tblPrEx>
          <w:tblLayout w:type="fixed"/>
          <w:tblCellMar>
            <w:top w:w="0" w:type="dxa"/>
            <w:left w:w="108" w:type="dxa"/>
            <w:bottom w:w="0" w:type="dxa"/>
            <w:right w:w="108" w:type="dxa"/>
          </w:tblCellMar>
        </w:tblPrEx>
        <w:trPr>
          <w:trHeight w:val="480" w:hRule="atLeast"/>
          <w:jc w:val="center"/>
        </w:trPr>
        <w:tc>
          <w:tcPr>
            <w:tcW w:w="9041"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第二十条第（五）项</w:t>
            </w:r>
          </w:p>
        </w:tc>
      </w:tr>
      <w:tr>
        <w:tblPrEx>
          <w:tblLayout w:type="fixed"/>
          <w:tblCellMar>
            <w:top w:w="0" w:type="dxa"/>
            <w:left w:w="108" w:type="dxa"/>
            <w:bottom w:w="0" w:type="dxa"/>
            <w:right w:w="108" w:type="dxa"/>
          </w:tblCellMar>
        </w:tblPrEx>
        <w:trPr>
          <w:trHeight w:val="634"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本年增/减</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处理决定数量</w:t>
            </w:r>
          </w:p>
        </w:tc>
      </w:tr>
      <w:tr>
        <w:tblPrEx>
          <w:tblLayout w:type="fixed"/>
          <w:tblCellMar>
            <w:top w:w="0" w:type="dxa"/>
            <w:left w:w="108" w:type="dxa"/>
            <w:bottom w:w="0" w:type="dxa"/>
            <w:right w:w="108" w:type="dxa"/>
          </w:tblCellMar>
        </w:tblPrEx>
        <w:trPr>
          <w:trHeight w:val="528"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行政许可</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265"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r>
      <w:tr>
        <w:tblPrEx>
          <w:tblLayout w:type="fixed"/>
          <w:tblCellMar>
            <w:top w:w="0" w:type="dxa"/>
            <w:left w:w="108" w:type="dxa"/>
            <w:bottom w:w="0" w:type="dxa"/>
            <w:right w:w="108" w:type="dxa"/>
          </w:tblCellMar>
        </w:tblPrEx>
        <w:trPr>
          <w:trHeight w:val="550"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其他对外管理服务事项</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265"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r>
      <w:tr>
        <w:tblPrEx>
          <w:tblLayout w:type="fixed"/>
          <w:tblCellMar>
            <w:top w:w="0" w:type="dxa"/>
            <w:left w:w="108" w:type="dxa"/>
            <w:bottom w:w="0" w:type="dxa"/>
            <w:right w:w="108" w:type="dxa"/>
          </w:tblCellMar>
        </w:tblPrEx>
        <w:trPr>
          <w:trHeight w:val="406" w:hRule="atLeast"/>
          <w:jc w:val="center"/>
        </w:trPr>
        <w:tc>
          <w:tcPr>
            <w:tcW w:w="9041"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第二十条第（六）项</w:t>
            </w:r>
          </w:p>
        </w:tc>
      </w:tr>
      <w:tr>
        <w:tblPrEx>
          <w:tblLayout w:type="fixed"/>
          <w:tblCellMar>
            <w:top w:w="0" w:type="dxa"/>
            <w:left w:w="108" w:type="dxa"/>
            <w:bottom w:w="0" w:type="dxa"/>
            <w:right w:w="108" w:type="dxa"/>
          </w:tblCellMar>
        </w:tblPrEx>
        <w:trPr>
          <w:trHeight w:val="634"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信息内容</w:t>
            </w:r>
          </w:p>
        </w:tc>
        <w:tc>
          <w:tcPr>
            <w:tcW w:w="187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上一年项目数量</w:t>
            </w:r>
          </w:p>
        </w:tc>
        <w:tc>
          <w:tcPr>
            <w:tcW w:w="127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本年增/减</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处理决定数量</w:t>
            </w:r>
          </w:p>
        </w:tc>
      </w:tr>
      <w:tr>
        <w:tblPrEx>
          <w:tblLayout w:type="fixed"/>
          <w:tblCellMar>
            <w:top w:w="0" w:type="dxa"/>
            <w:left w:w="108" w:type="dxa"/>
            <w:bottom w:w="0" w:type="dxa"/>
            <w:right w:w="108" w:type="dxa"/>
          </w:tblCellMar>
        </w:tblPrEx>
        <w:trPr>
          <w:trHeight w:val="430"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行政处罚</w:t>
            </w:r>
          </w:p>
        </w:tc>
        <w:tc>
          <w:tcPr>
            <w:tcW w:w="1881"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446</w:t>
            </w:r>
          </w:p>
        </w:tc>
        <w:tc>
          <w:tcPr>
            <w:tcW w:w="1265"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增6</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13</w:t>
            </w:r>
          </w:p>
        </w:tc>
      </w:tr>
      <w:tr>
        <w:tblPrEx>
          <w:tblLayout w:type="fixed"/>
          <w:tblCellMar>
            <w:top w:w="0" w:type="dxa"/>
            <w:left w:w="108" w:type="dxa"/>
            <w:bottom w:w="0" w:type="dxa"/>
            <w:right w:w="108" w:type="dxa"/>
          </w:tblCellMar>
        </w:tblPrEx>
        <w:trPr>
          <w:trHeight w:val="409"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行政强制</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265"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1881" w:type="dxa"/>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r>
      <w:tr>
        <w:tblPrEx>
          <w:tblLayout w:type="fixed"/>
          <w:tblCellMar>
            <w:top w:w="0" w:type="dxa"/>
            <w:left w:w="108" w:type="dxa"/>
            <w:bottom w:w="0" w:type="dxa"/>
            <w:right w:w="108" w:type="dxa"/>
          </w:tblCellMar>
        </w:tblPrEx>
        <w:trPr>
          <w:trHeight w:val="474" w:hRule="atLeast"/>
          <w:jc w:val="center"/>
        </w:trPr>
        <w:tc>
          <w:tcPr>
            <w:tcW w:w="9041"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第二十条第（八）项</w:t>
            </w:r>
          </w:p>
        </w:tc>
      </w:tr>
      <w:tr>
        <w:tblPrEx>
          <w:tblLayout w:type="fixed"/>
          <w:tblCellMar>
            <w:top w:w="0" w:type="dxa"/>
            <w:left w:w="108" w:type="dxa"/>
            <w:bottom w:w="0" w:type="dxa"/>
            <w:right w:w="108" w:type="dxa"/>
          </w:tblCellMar>
        </w:tblPrEx>
        <w:trPr>
          <w:trHeight w:val="270"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信息内容</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上一年项目数量</w:t>
            </w:r>
          </w:p>
        </w:tc>
        <w:tc>
          <w:tcPr>
            <w:tcW w:w="3146" w:type="dxa"/>
            <w:gridSpan w:val="2"/>
            <w:tcBorders>
              <w:top w:val="single" w:color="auto" w:sz="4" w:space="0"/>
              <w:left w:val="nil"/>
              <w:bottom w:val="single" w:color="auto"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本年增/减</w:t>
            </w:r>
          </w:p>
        </w:tc>
      </w:tr>
      <w:tr>
        <w:tblPrEx>
          <w:tblLayout w:type="fixed"/>
          <w:tblCellMar>
            <w:top w:w="0" w:type="dxa"/>
            <w:left w:w="108" w:type="dxa"/>
            <w:bottom w:w="0" w:type="dxa"/>
            <w:right w:w="108" w:type="dxa"/>
          </w:tblCellMar>
        </w:tblPrEx>
        <w:trPr>
          <w:trHeight w:val="551"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行政事业性收费</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3146" w:type="dxa"/>
            <w:gridSpan w:val="2"/>
            <w:tcBorders>
              <w:top w:val="single" w:color="auto" w:sz="4" w:space="0"/>
              <w:left w:val="nil"/>
              <w:bottom w:val="single" w:color="auto"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r>
      <w:tr>
        <w:tblPrEx>
          <w:tblLayout w:type="fixed"/>
          <w:tblCellMar>
            <w:top w:w="0" w:type="dxa"/>
            <w:left w:w="108" w:type="dxa"/>
            <w:bottom w:w="0" w:type="dxa"/>
            <w:right w:w="108" w:type="dxa"/>
          </w:tblCellMar>
        </w:tblPrEx>
        <w:trPr>
          <w:trHeight w:val="476" w:hRule="atLeast"/>
          <w:jc w:val="center"/>
        </w:trPr>
        <w:tc>
          <w:tcPr>
            <w:tcW w:w="9041"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第二十条第（九）项</w:t>
            </w:r>
          </w:p>
        </w:tc>
      </w:tr>
      <w:tr>
        <w:tblPrEx>
          <w:tblLayout w:type="fixed"/>
          <w:tblCellMar>
            <w:top w:w="0" w:type="dxa"/>
            <w:left w:w="108" w:type="dxa"/>
            <w:bottom w:w="0" w:type="dxa"/>
            <w:right w:w="108" w:type="dxa"/>
          </w:tblCellMar>
        </w:tblPrEx>
        <w:trPr>
          <w:trHeight w:val="585"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信息内容</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采购项目数量</w:t>
            </w:r>
          </w:p>
        </w:tc>
        <w:tc>
          <w:tcPr>
            <w:tcW w:w="3146" w:type="dxa"/>
            <w:gridSpan w:val="2"/>
            <w:tcBorders>
              <w:top w:val="single" w:color="auto" w:sz="4" w:space="0"/>
              <w:left w:val="nil"/>
              <w:bottom w:val="single" w:color="auto"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采购总金额</w:t>
            </w:r>
          </w:p>
        </w:tc>
      </w:tr>
      <w:tr>
        <w:tblPrEx>
          <w:tblLayout w:type="fixed"/>
          <w:tblCellMar>
            <w:top w:w="0" w:type="dxa"/>
            <w:left w:w="108" w:type="dxa"/>
            <w:bottom w:w="0" w:type="dxa"/>
            <w:right w:w="108" w:type="dxa"/>
          </w:tblCellMar>
        </w:tblPrEx>
        <w:trPr>
          <w:trHeight w:val="539" w:hRule="atLeast"/>
          <w:jc w:val="center"/>
        </w:trPr>
        <w:tc>
          <w:tcPr>
            <w:tcW w:w="4014" w:type="dxa"/>
            <w:tcBorders>
              <w:top w:val="nil"/>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rPr>
              <w:t>政府集中采购</w:t>
            </w:r>
          </w:p>
        </w:tc>
        <w:tc>
          <w:tcPr>
            <w:tcW w:w="1881" w:type="dxa"/>
            <w:gridSpan w:val="2"/>
            <w:tcBorders>
              <w:top w:val="nil"/>
              <w:left w:val="nil"/>
              <w:bottom w:val="single" w:color="auto" w:sz="4" w:space="0"/>
              <w:right w:val="single" w:color="auto"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314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三、收到和处理政府信息公开申请情况</w:t>
      </w:r>
    </w:p>
    <w:tbl>
      <w:tblPr>
        <w:tblStyle w:val="1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restart"/>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（本列数据的勾稽关系为：第一项加第二项之和，等于第三项加第四项之和）</w:t>
            </w:r>
          </w:p>
        </w:tc>
        <w:tc>
          <w:tcPr>
            <w:tcW w:w="5592" w:type="dxa"/>
            <w:gridSpan w:val="7"/>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continue"/>
            <w:vAlign w:val="center"/>
          </w:tcPr>
          <w:p>
            <w:pPr>
              <w:widowControl/>
              <w:jc w:val="left"/>
              <w:rPr>
                <w:rFonts w:ascii="宋体" w:cs="Times New Roman"/>
                <w:kern w:val="0"/>
                <w:sz w:val="24"/>
                <w:szCs w:val="24"/>
              </w:rPr>
            </w:pPr>
          </w:p>
        </w:tc>
        <w:tc>
          <w:tcPr>
            <w:tcW w:w="825" w:type="dxa"/>
            <w:vMerge w:val="restart"/>
            <w:tcBorders>
              <w:top w:val="nil"/>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自然人</w:t>
            </w:r>
          </w:p>
        </w:tc>
        <w:tc>
          <w:tcPr>
            <w:tcW w:w="4065" w:type="dxa"/>
            <w:gridSpan w:val="5"/>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法人或其他组织</w:t>
            </w:r>
          </w:p>
        </w:tc>
        <w:tc>
          <w:tcPr>
            <w:tcW w:w="702" w:type="dxa"/>
            <w:vMerge w:val="restart"/>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Merge w:val="continue"/>
            <w:vAlign w:val="center"/>
          </w:tcPr>
          <w:p>
            <w:pPr>
              <w:widowControl/>
              <w:jc w:val="left"/>
              <w:rPr>
                <w:rFonts w:ascii="宋体" w:cs="Times New Roman"/>
                <w:kern w:val="0"/>
                <w:sz w:val="24"/>
                <w:szCs w:val="24"/>
              </w:rPr>
            </w:pPr>
          </w:p>
        </w:tc>
        <w:tc>
          <w:tcPr>
            <w:tcW w:w="825" w:type="dxa"/>
            <w:vMerge w:val="continue"/>
            <w:tcBorders>
              <w:top w:val="nil"/>
              <w:left w:val="nil"/>
            </w:tcBorders>
            <w:vAlign w:val="center"/>
          </w:tcPr>
          <w:p>
            <w:pPr>
              <w:widowControl/>
              <w:jc w:val="left"/>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商业企业</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科研机构</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社会公益组织</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法律服务机构</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其他</w:t>
            </w:r>
          </w:p>
        </w:tc>
        <w:tc>
          <w:tcPr>
            <w:tcW w:w="702" w:type="dxa"/>
            <w:vMerge w:val="continue"/>
            <w:tcBorders>
              <w:left w:val="nil"/>
            </w:tcBorders>
            <w:vAlign w:val="center"/>
          </w:tcPr>
          <w:p>
            <w:pPr>
              <w:widowControl/>
              <w:jc w:val="center"/>
              <w:rPr>
                <w:rFonts w:ascii="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ascii="宋体" w:cs="Times New Roman"/>
                <w:kern w:val="0"/>
                <w:sz w:val="24"/>
                <w:szCs w:val="24"/>
              </w:rPr>
            </w:pPr>
            <w:r>
              <w:rPr>
                <w:rFonts w:hint="eastAsia" w:cs="宋体"/>
                <w:sz w:val="20"/>
                <w:szCs w:val="20"/>
              </w:rPr>
              <w:t>一、本年新收政府信息公开申请数量</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ascii="宋体" w:cs="Times New Roman"/>
                <w:kern w:val="0"/>
                <w:sz w:val="24"/>
                <w:szCs w:val="24"/>
              </w:rPr>
            </w:pPr>
            <w:r>
              <w:rPr>
                <w:rFonts w:hint="eastAsia" w:cs="宋体"/>
                <w:sz w:val="20"/>
                <w:szCs w:val="20"/>
              </w:rPr>
              <w:t>二、上年结转政府信息公开申请数量</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restart"/>
            <w:tcBorders>
              <w:top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三、本年度办理结果</w:t>
            </w:r>
          </w:p>
        </w:tc>
        <w:tc>
          <w:tcPr>
            <w:tcW w:w="2985" w:type="dxa"/>
            <w:gridSpan w:val="2"/>
            <w:tcBorders>
              <w:left w:val="nil"/>
            </w:tcBorders>
            <w:vAlign w:val="center"/>
          </w:tcPr>
          <w:p>
            <w:pPr>
              <w:widowControl/>
              <w:spacing w:before="100" w:beforeAutospacing="1" w:after="100" w:afterAutospacing="1"/>
              <w:jc w:val="left"/>
              <w:rPr>
                <w:rFonts w:ascii="宋体" w:cs="Times New Roman"/>
                <w:kern w:val="0"/>
                <w:sz w:val="24"/>
                <w:szCs w:val="24"/>
              </w:rPr>
            </w:pPr>
            <w:r>
              <w:rPr>
                <w:rFonts w:hint="eastAsia" w:ascii="楷体" w:hAnsi="楷体" w:eastAsia="楷体" w:cs="楷体"/>
                <w:sz w:val="20"/>
                <w:szCs w:val="20"/>
              </w:rPr>
              <w:t>（一）予以公开</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2985" w:type="dxa"/>
            <w:gridSpan w:val="2"/>
            <w:tcBorders>
              <w:left w:val="nil"/>
            </w:tcBorders>
            <w:vAlign w:val="center"/>
          </w:tcPr>
          <w:p>
            <w:pPr>
              <w:widowControl/>
              <w:spacing w:before="100" w:beforeAutospacing="1" w:after="100" w:afterAutospacing="1"/>
              <w:jc w:val="left"/>
              <w:rPr>
                <w:rFonts w:ascii="宋体" w:cs="Times New Roman"/>
                <w:kern w:val="0"/>
                <w:sz w:val="24"/>
                <w:szCs w:val="24"/>
              </w:rPr>
            </w:pPr>
            <w:r>
              <w:rPr>
                <w:rFonts w:hint="eastAsia" w:ascii="楷体" w:hAnsi="楷体" w:eastAsia="楷体" w:cs="楷体"/>
                <w:sz w:val="20"/>
                <w:szCs w:val="20"/>
              </w:rPr>
              <w:t>（二）部分公开（区分处理的，只计这一情形，不计其他情形）</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restart"/>
            <w:tcBorders>
              <w:top w:val="nil"/>
              <w:left w:val="nil"/>
            </w:tcBorders>
            <w:vAlign w:val="center"/>
          </w:tcPr>
          <w:p>
            <w:pPr>
              <w:widowControl/>
              <w:spacing w:before="100" w:beforeAutospacing="1" w:after="100" w:afterAutospacing="1"/>
              <w:jc w:val="left"/>
              <w:rPr>
                <w:rFonts w:ascii="宋体" w:cs="Times New Roman"/>
                <w:kern w:val="0"/>
                <w:sz w:val="24"/>
                <w:szCs w:val="24"/>
              </w:rPr>
            </w:pPr>
            <w:r>
              <w:rPr>
                <w:rFonts w:hint="eastAsia" w:ascii="楷体" w:hAnsi="楷体" w:eastAsia="楷体" w:cs="楷体"/>
                <w:sz w:val="20"/>
                <w:szCs w:val="20"/>
              </w:rPr>
              <w:t>（三）不予公开</w:t>
            </w: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1.</w:t>
            </w:r>
            <w:r>
              <w:rPr>
                <w:rFonts w:hint="eastAsia" w:ascii="楷体" w:hAnsi="楷体" w:eastAsia="楷体" w:cs="楷体"/>
                <w:sz w:val="20"/>
                <w:szCs w:val="20"/>
              </w:rPr>
              <w:t>属于国家秘密</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2.</w:t>
            </w:r>
            <w:r>
              <w:rPr>
                <w:rFonts w:hint="eastAsia" w:ascii="楷体" w:hAnsi="楷体" w:eastAsia="楷体" w:cs="楷体"/>
                <w:sz w:val="20"/>
                <w:szCs w:val="20"/>
              </w:rPr>
              <w:t>其他法律行政法规禁止公开</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3.</w:t>
            </w:r>
            <w:r>
              <w:rPr>
                <w:rFonts w:hint="eastAsia" w:ascii="楷体" w:hAnsi="楷体" w:eastAsia="楷体" w:cs="楷体"/>
                <w:sz w:val="20"/>
                <w:szCs w:val="20"/>
              </w:rPr>
              <w:t>危及“三安全一稳定”</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4.</w:t>
            </w:r>
            <w:r>
              <w:rPr>
                <w:rFonts w:hint="eastAsia" w:ascii="楷体" w:hAnsi="楷体" w:eastAsia="楷体" w:cs="楷体"/>
                <w:sz w:val="20"/>
                <w:szCs w:val="20"/>
              </w:rPr>
              <w:t>保护第三方合法权益</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5.</w:t>
            </w:r>
            <w:r>
              <w:rPr>
                <w:rFonts w:hint="eastAsia" w:ascii="楷体" w:hAnsi="楷体" w:eastAsia="楷体" w:cs="楷体"/>
                <w:sz w:val="20"/>
                <w:szCs w:val="20"/>
              </w:rPr>
              <w:t>属于三类内部事务信息</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6.</w:t>
            </w:r>
            <w:r>
              <w:rPr>
                <w:rFonts w:hint="eastAsia" w:ascii="楷体" w:hAnsi="楷体" w:eastAsia="楷体" w:cs="楷体"/>
                <w:sz w:val="20"/>
                <w:szCs w:val="20"/>
              </w:rPr>
              <w:t>属于四类过程性信息</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7.</w:t>
            </w:r>
            <w:r>
              <w:rPr>
                <w:rFonts w:hint="eastAsia" w:ascii="楷体" w:hAnsi="楷体" w:eastAsia="楷体" w:cs="楷体"/>
                <w:sz w:val="20"/>
                <w:szCs w:val="20"/>
              </w:rPr>
              <w:t>属于行政执法案卷</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8.</w:t>
            </w:r>
            <w:r>
              <w:rPr>
                <w:rFonts w:hint="eastAsia" w:ascii="楷体" w:hAnsi="楷体" w:eastAsia="楷体" w:cs="楷体"/>
                <w:sz w:val="20"/>
                <w:szCs w:val="20"/>
              </w:rPr>
              <w:t>属于行政查询事项</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restart"/>
            <w:tcBorders>
              <w:top w:val="nil"/>
              <w:left w:val="nil"/>
            </w:tcBorders>
            <w:vAlign w:val="center"/>
          </w:tcPr>
          <w:p>
            <w:pPr>
              <w:widowControl/>
              <w:spacing w:before="100" w:beforeAutospacing="1" w:after="100" w:afterAutospacing="1"/>
              <w:jc w:val="left"/>
              <w:rPr>
                <w:rFonts w:ascii="宋体" w:cs="Times New Roman"/>
                <w:kern w:val="0"/>
                <w:sz w:val="24"/>
                <w:szCs w:val="24"/>
              </w:rPr>
            </w:pPr>
            <w:r>
              <w:rPr>
                <w:rFonts w:hint="eastAsia" w:ascii="楷体" w:hAnsi="楷体" w:eastAsia="楷体" w:cs="楷体"/>
                <w:sz w:val="20"/>
                <w:szCs w:val="20"/>
              </w:rPr>
              <w:t>（四）无法提供</w:t>
            </w: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1.</w:t>
            </w:r>
            <w:r>
              <w:rPr>
                <w:rFonts w:hint="eastAsia" w:ascii="楷体" w:hAnsi="楷体" w:eastAsia="楷体" w:cs="楷体"/>
                <w:sz w:val="20"/>
                <w:szCs w:val="20"/>
              </w:rPr>
              <w:t>本机关不掌握相关政府信息</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2.</w:t>
            </w:r>
            <w:r>
              <w:rPr>
                <w:rFonts w:hint="eastAsia" w:ascii="楷体" w:hAnsi="楷体" w:eastAsia="楷体" w:cs="楷体"/>
                <w:sz w:val="20"/>
                <w:szCs w:val="20"/>
              </w:rPr>
              <w:t>没有现成信息需要另行制作</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3.</w:t>
            </w:r>
            <w:r>
              <w:rPr>
                <w:rFonts w:hint="eastAsia" w:ascii="楷体" w:hAnsi="楷体" w:eastAsia="楷体" w:cs="楷体"/>
                <w:sz w:val="20"/>
                <w:szCs w:val="20"/>
              </w:rPr>
              <w:t>补正后申请内容仍不明确</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restart"/>
            <w:tcBorders>
              <w:top w:val="nil"/>
              <w:left w:val="nil"/>
            </w:tcBorders>
            <w:vAlign w:val="center"/>
          </w:tcPr>
          <w:p>
            <w:pPr>
              <w:widowControl/>
              <w:spacing w:before="100" w:beforeAutospacing="1" w:after="100" w:afterAutospacing="1"/>
              <w:jc w:val="left"/>
              <w:rPr>
                <w:rFonts w:ascii="宋体" w:cs="Times New Roman"/>
                <w:kern w:val="0"/>
                <w:sz w:val="24"/>
                <w:szCs w:val="24"/>
              </w:rPr>
            </w:pPr>
            <w:r>
              <w:rPr>
                <w:rFonts w:hint="eastAsia" w:ascii="楷体" w:hAnsi="楷体" w:eastAsia="楷体" w:cs="楷体"/>
                <w:sz w:val="20"/>
                <w:szCs w:val="20"/>
              </w:rPr>
              <w:t>（五）不予处理</w:t>
            </w: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1.</w:t>
            </w:r>
            <w:r>
              <w:rPr>
                <w:rFonts w:hint="eastAsia" w:ascii="楷体" w:hAnsi="楷体" w:eastAsia="楷体" w:cs="楷体"/>
                <w:sz w:val="20"/>
                <w:szCs w:val="20"/>
              </w:rPr>
              <w:t>信访举报投诉类申请</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2.</w:t>
            </w:r>
            <w:r>
              <w:rPr>
                <w:rFonts w:hint="eastAsia" w:ascii="楷体" w:hAnsi="楷体" w:eastAsia="楷体" w:cs="楷体"/>
                <w:sz w:val="20"/>
                <w:szCs w:val="20"/>
              </w:rPr>
              <w:t>重复申请</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3.</w:t>
            </w:r>
            <w:r>
              <w:rPr>
                <w:rFonts w:hint="eastAsia" w:ascii="楷体" w:hAnsi="楷体" w:eastAsia="楷体" w:cs="楷体"/>
                <w:sz w:val="20"/>
                <w:szCs w:val="20"/>
              </w:rPr>
              <w:t>要求提供公开出版物</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4.</w:t>
            </w:r>
            <w:r>
              <w:rPr>
                <w:rFonts w:hint="eastAsia" w:ascii="楷体" w:hAnsi="楷体" w:eastAsia="楷体" w:cs="楷体"/>
                <w:sz w:val="20"/>
                <w:szCs w:val="20"/>
              </w:rPr>
              <w:t>无正当理由大量反复申请</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855" w:type="dxa"/>
            <w:vMerge w:val="continue"/>
            <w:tcBorders>
              <w:top w:val="nil"/>
              <w:left w:val="nil"/>
            </w:tcBorders>
            <w:vAlign w:val="center"/>
          </w:tcPr>
          <w:p>
            <w:pPr>
              <w:widowControl/>
              <w:jc w:val="left"/>
              <w:rPr>
                <w:rFonts w:ascii="宋体" w:cs="Times New Roman"/>
                <w:kern w:val="0"/>
                <w:sz w:val="24"/>
                <w:szCs w:val="24"/>
              </w:rPr>
            </w:pPr>
          </w:p>
        </w:tc>
        <w:tc>
          <w:tcPr>
            <w:tcW w:w="2130" w:type="dxa"/>
            <w:tcBorders>
              <w:left w:val="nil"/>
            </w:tcBorders>
            <w:vAlign w:val="center"/>
          </w:tcPr>
          <w:p>
            <w:pPr>
              <w:widowControl/>
              <w:spacing w:before="100" w:beforeAutospacing="1" w:after="100" w:afterAutospacing="1"/>
              <w:jc w:val="left"/>
              <w:rPr>
                <w:rFonts w:ascii="宋体" w:cs="Times New Roman"/>
                <w:kern w:val="0"/>
                <w:sz w:val="24"/>
                <w:szCs w:val="24"/>
              </w:rPr>
            </w:pPr>
            <w:r>
              <w:rPr>
                <w:rFonts w:ascii="楷体" w:hAnsi="楷体" w:eastAsia="楷体" w:cs="楷体"/>
                <w:sz w:val="20"/>
                <w:szCs w:val="20"/>
              </w:rPr>
              <w:t>5.</w:t>
            </w:r>
            <w:r>
              <w:rPr>
                <w:rFonts w:hint="eastAsia" w:ascii="楷体" w:hAnsi="楷体" w:eastAsia="楷体" w:cs="楷体"/>
                <w:sz w:val="20"/>
                <w:szCs w:val="20"/>
              </w:rPr>
              <w:t>要求行政机关确认或重新出具已获取信息</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2985" w:type="dxa"/>
            <w:gridSpan w:val="2"/>
            <w:tcBorders>
              <w:left w:val="nil"/>
            </w:tcBorders>
            <w:vAlign w:val="center"/>
          </w:tcPr>
          <w:p>
            <w:pPr>
              <w:widowControl/>
              <w:spacing w:before="100" w:beforeAutospacing="1" w:after="100" w:afterAutospacing="1"/>
              <w:jc w:val="left"/>
              <w:rPr>
                <w:rFonts w:ascii="宋体" w:cs="Times New Roman"/>
                <w:kern w:val="0"/>
                <w:sz w:val="24"/>
                <w:szCs w:val="24"/>
              </w:rPr>
            </w:pPr>
            <w:r>
              <w:rPr>
                <w:rFonts w:hint="eastAsia" w:ascii="楷体" w:hAnsi="楷体" w:eastAsia="楷体" w:cs="楷体"/>
                <w:sz w:val="20"/>
                <w:szCs w:val="20"/>
              </w:rPr>
              <w:t>（六）其他处理</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cs="Times New Roman"/>
                <w:sz w:val="20"/>
                <w:szCs w:val="20"/>
              </w:rPr>
              <w:t> </w:t>
            </w: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tcBorders>
              <w:top w:val="nil"/>
            </w:tcBorders>
            <w:vAlign w:val="center"/>
          </w:tcPr>
          <w:p>
            <w:pPr>
              <w:widowControl/>
              <w:jc w:val="left"/>
              <w:rPr>
                <w:rFonts w:ascii="宋体" w:cs="Times New Roman"/>
                <w:kern w:val="0"/>
                <w:sz w:val="24"/>
                <w:szCs w:val="24"/>
              </w:rPr>
            </w:pPr>
          </w:p>
        </w:tc>
        <w:tc>
          <w:tcPr>
            <w:tcW w:w="2985" w:type="dxa"/>
            <w:gridSpan w:val="2"/>
            <w:tcBorders>
              <w:left w:val="nil"/>
            </w:tcBorders>
            <w:vAlign w:val="center"/>
          </w:tcPr>
          <w:p>
            <w:pPr>
              <w:widowControl/>
              <w:spacing w:before="100" w:beforeAutospacing="1" w:after="100" w:afterAutospacing="1"/>
              <w:jc w:val="left"/>
              <w:rPr>
                <w:rFonts w:ascii="宋体" w:cs="Times New Roman"/>
                <w:kern w:val="0"/>
                <w:sz w:val="24"/>
                <w:szCs w:val="24"/>
              </w:rPr>
            </w:pPr>
            <w:r>
              <w:rPr>
                <w:rFonts w:hint="eastAsia" w:ascii="楷体" w:hAnsi="楷体" w:eastAsia="楷体" w:cs="楷体"/>
                <w:sz w:val="20"/>
                <w:szCs w:val="20"/>
              </w:rPr>
              <w:t>（七）总计</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02"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79" w:type="dxa"/>
            <w:gridSpan w:val="3"/>
            <w:vAlign w:val="center"/>
          </w:tcPr>
          <w:p>
            <w:pPr>
              <w:widowControl/>
              <w:spacing w:before="100" w:beforeAutospacing="1" w:after="100" w:afterAutospacing="1"/>
              <w:jc w:val="left"/>
              <w:rPr>
                <w:rFonts w:ascii="宋体" w:cs="Times New Roman"/>
                <w:kern w:val="0"/>
                <w:sz w:val="24"/>
                <w:szCs w:val="24"/>
              </w:rPr>
            </w:pPr>
            <w:r>
              <w:rPr>
                <w:rFonts w:hint="eastAsia" w:cs="宋体"/>
                <w:sz w:val="20"/>
                <w:szCs w:val="20"/>
              </w:rPr>
              <w:t>四、结转下年度继续办理</w:t>
            </w: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6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825"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990"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20" w:type="dxa"/>
            <w:tcBorders>
              <w:left w:val="nil"/>
            </w:tcBorders>
            <w:vAlign w:val="center"/>
          </w:tcPr>
          <w:p>
            <w:pPr>
              <w:widowControl/>
              <w:spacing w:before="100" w:beforeAutospacing="1" w:after="100" w:afterAutospacing="1"/>
              <w:jc w:val="center"/>
              <w:rPr>
                <w:rFonts w:ascii="宋体" w:cs="Times New Roman"/>
                <w:kern w:val="0"/>
                <w:sz w:val="24"/>
                <w:szCs w:val="24"/>
              </w:rPr>
            </w:pPr>
          </w:p>
        </w:tc>
        <w:tc>
          <w:tcPr>
            <w:tcW w:w="702" w:type="dxa"/>
            <w:tcBorders>
              <w:left w:val="nil"/>
            </w:tcBorders>
            <w:vAlign w:val="center"/>
          </w:tcPr>
          <w:p>
            <w:pPr>
              <w:widowControl/>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四、政府信息公开行政复议、行政诉讼情况</w:t>
      </w:r>
    </w:p>
    <w:tbl>
      <w:tblPr>
        <w:tblStyle w:val="1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74" w:type="dxa"/>
            <w:gridSpan w:val="5"/>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行政复议</w:t>
            </w:r>
          </w:p>
        </w:tc>
        <w:tc>
          <w:tcPr>
            <w:tcW w:w="5997" w:type="dxa"/>
            <w:gridSpan w:val="10"/>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vMerge w:val="restart"/>
            <w:tcBorders>
              <w:top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结果维持</w:t>
            </w:r>
          </w:p>
        </w:tc>
        <w:tc>
          <w:tcPr>
            <w:tcW w:w="604" w:type="dxa"/>
            <w:vMerge w:val="restart"/>
            <w:tcBorders>
              <w:top w:val="nil"/>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结果纠正</w:t>
            </w:r>
          </w:p>
        </w:tc>
        <w:tc>
          <w:tcPr>
            <w:tcW w:w="604" w:type="dxa"/>
            <w:vMerge w:val="restart"/>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其他结果</w:t>
            </w:r>
          </w:p>
        </w:tc>
        <w:tc>
          <w:tcPr>
            <w:tcW w:w="604" w:type="dxa"/>
            <w:vMerge w:val="restart"/>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尚未审结</w:t>
            </w:r>
          </w:p>
        </w:tc>
        <w:tc>
          <w:tcPr>
            <w:tcW w:w="658" w:type="dxa"/>
            <w:vMerge w:val="restart"/>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总计</w:t>
            </w:r>
          </w:p>
        </w:tc>
        <w:tc>
          <w:tcPr>
            <w:tcW w:w="2970" w:type="dxa"/>
            <w:gridSpan w:val="5"/>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未经复议直接起诉</w:t>
            </w:r>
          </w:p>
        </w:tc>
        <w:tc>
          <w:tcPr>
            <w:tcW w:w="3027" w:type="dxa"/>
            <w:gridSpan w:val="5"/>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vMerge w:val="continue"/>
            <w:tcBorders>
              <w:top w:val="nil"/>
            </w:tcBorders>
            <w:vAlign w:val="center"/>
          </w:tcPr>
          <w:p>
            <w:pPr>
              <w:widowControl/>
              <w:jc w:val="left"/>
              <w:rPr>
                <w:rFonts w:ascii="宋体" w:cs="Times New Roman"/>
                <w:kern w:val="0"/>
                <w:sz w:val="24"/>
                <w:szCs w:val="24"/>
              </w:rPr>
            </w:pPr>
          </w:p>
        </w:tc>
        <w:tc>
          <w:tcPr>
            <w:tcW w:w="604" w:type="dxa"/>
            <w:vMerge w:val="continue"/>
            <w:tcBorders>
              <w:top w:val="nil"/>
              <w:left w:val="nil"/>
            </w:tcBorders>
            <w:vAlign w:val="center"/>
          </w:tcPr>
          <w:p>
            <w:pPr>
              <w:widowControl/>
              <w:jc w:val="left"/>
              <w:rPr>
                <w:rFonts w:ascii="宋体" w:cs="Times New Roman"/>
                <w:kern w:val="0"/>
                <w:sz w:val="24"/>
                <w:szCs w:val="24"/>
              </w:rPr>
            </w:pPr>
          </w:p>
        </w:tc>
        <w:tc>
          <w:tcPr>
            <w:tcW w:w="604" w:type="dxa"/>
            <w:vMerge w:val="continue"/>
            <w:tcBorders>
              <w:left w:val="nil"/>
            </w:tcBorders>
            <w:vAlign w:val="center"/>
          </w:tcPr>
          <w:p>
            <w:pPr>
              <w:widowControl/>
              <w:jc w:val="left"/>
              <w:rPr>
                <w:rFonts w:ascii="宋体" w:cs="Times New Roman"/>
                <w:kern w:val="0"/>
                <w:sz w:val="24"/>
                <w:szCs w:val="24"/>
              </w:rPr>
            </w:pPr>
          </w:p>
        </w:tc>
        <w:tc>
          <w:tcPr>
            <w:tcW w:w="604" w:type="dxa"/>
            <w:vMerge w:val="continue"/>
            <w:tcBorders>
              <w:left w:val="nil"/>
            </w:tcBorders>
            <w:vAlign w:val="center"/>
          </w:tcPr>
          <w:p>
            <w:pPr>
              <w:widowControl/>
              <w:jc w:val="left"/>
              <w:rPr>
                <w:rFonts w:ascii="宋体" w:cs="Times New Roman"/>
                <w:kern w:val="0"/>
                <w:sz w:val="24"/>
                <w:szCs w:val="24"/>
              </w:rPr>
            </w:pPr>
          </w:p>
        </w:tc>
        <w:tc>
          <w:tcPr>
            <w:tcW w:w="658" w:type="dxa"/>
            <w:vMerge w:val="continue"/>
            <w:tcBorders>
              <w:left w:val="nil"/>
            </w:tcBorders>
            <w:vAlign w:val="center"/>
          </w:tcPr>
          <w:p>
            <w:pPr>
              <w:widowControl/>
              <w:jc w:val="left"/>
              <w:rPr>
                <w:rFonts w:ascii="宋体" w:cs="Times New Roman"/>
                <w:kern w:val="0"/>
                <w:sz w:val="24"/>
                <w:szCs w:val="24"/>
              </w:rPr>
            </w:pPr>
          </w:p>
        </w:tc>
        <w:tc>
          <w:tcPr>
            <w:tcW w:w="550"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结果维持</w:t>
            </w:r>
          </w:p>
        </w:tc>
        <w:tc>
          <w:tcPr>
            <w:tcW w:w="60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结果纠正</w:t>
            </w:r>
          </w:p>
        </w:tc>
        <w:tc>
          <w:tcPr>
            <w:tcW w:w="60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其他结果</w:t>
            </w:r>
          </w:p>
        </w:tc>
        <w:tc>
          <w:tcPr>
            <w:tcW w:w="60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尚未审结</w:t>
            </w:r>
          </w:p>
        </w:tc>
        <w:tc>
          <w:tcPr>
            <w:tcW w:w="60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ascii="宋体" w:hAnsi="宋体" w:cs="宋体"/>
                <w:color w:val="000000"/>
                <w:kern w:val="0"/>
                <w:sz w:val="20"/>
                <w:szCs w:val="20"/>
              </w:rPr>
              <w:t>总计</w:t>
            </w:r>
          </w:p>
        </w:tc>
        <w:tc>
          <w:tcPr>
            <w:tcW w:w="60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结果维持</w:t>
            </w:r>
          </w:p>
        </w:tc>
        <w:tc>
          <w:tcPr>
            <w:tcW w:w="60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结果纠正</w:t>
            </w:r>
          </w:p>
        </w:tc>
        <w:tc>
          <w:tcPr>
            <w:tcW w:w="605"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ascii="宋体" w:hAnsi="宋体" w:cs="宋体"/>
                <w:color w:val="000000"/>
                <w:kern w:val="0"/>
                <w:sz w:val="20"/>
                <w:szCs w:val="20"/>
              </w:rPr>
              <w:t>其他结果</w:t>
            </w:r>
          </w:p>
        </w:tc>
        <w:tc>
          <w:tcPr>
            <w:tcW w:w="606"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cs="宋体"/>
                <w:sz w:val="20"/>
                <w:szCs w:val="20"/>
              </w:rPr>
              <w:t>尚未审结</w:t>
            </w:r>
          </w:p>
        </w:tc>
        <w:tc>
          <w:tcPr>
            <w:tcW w:w="606" w:type="dxa"/>
            <w:tcBorders>
              <w:left w:val="nil"/>
            </w:tcBorders>
            <w:vAlign w:val="center"/>
          </w:tcPr>
          <w:p>
            <w:pPr>
              <w:widowControl/>
              <w:spacing w:before="100" w:beforeAutospacing="1" w:after="100" w:afterAutospacing="1"/>
              <w:jc w:val="center"/>
              <w:rPr>
                <w:rFonts w:ascii="宋体" w:cs="Times New Roman"/>
                <w:kern w:val="0"/>
                <w:sz w:val="24"/>
                <w:szCs w:val="24"/>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4" w:type="dxa"/>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4"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4"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4"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58"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 w:val="20"/>
                <w:szCs w:val="20"/>
                <w:lang w:val="en-US" w:eastAsia="zh-CN"/>
              </w:rPr>
              <w:t>0</w:t>
            </w:r>
          </w:p>
        </w:tc>
        <w:tc>
          <w:tcPr>
            <w:tcW w:w="550"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5"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5"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5"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5"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kern w:val="0"/>
                <w:sz w:val="20"/>
                <w:szCs w:val="20"/>
                <w:lang w:val="en-US" w:eastAsia="zh-CN"/>
              </w:rPr>
              <w:t>0</w:t>
            </w:r>
          </w:p>
        </w:tc>
        <w:tc>
          <w:tcPr>
            <w:tcW w:w="605"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5"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5"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6" w:type="dxa"/>
            <w:tcBorders>
              <w:left w:val="nil"/>
            </w:tcBorders>
            <w:vAlign w:val="center"/>
          </w:tcPr>
          <w:p>
            <w:pPr>
              <w:widowControl/>
              <w:spacing w:before="100" w:beforeAutospacing="1" w:after="100" w:afterAutospacing="1"/>
              <w:jc w:val="center"/>
              <w:rPr>
                <w:rFonts w:hint="eastAsia" w:asciiTheme="minorEastAsia" w:hAnsiTheme="minorEastAsia" w:eastAsiaTheme="minorEastAsia" w:cstheme="minorEastAsia"/>
                <w:kern w:val="0"/>
                <w:sz w:val="20"/>
                <w:szCs w:val="20"/>
              </w:rPr>
            </w:pPr>
          </w:p>
        </w:tc>
        <w:tc>
          <w:tcPr>
            <w:tcW w:w="606" w:type="dxa"/>
            <w:tcBorders>
              <w:left w:val="nil"/>
            </w:tcBorders>
            <w:vAlign w:val="center"/>
          </w:tcPr>
          <w:p>
            <w:pPr>
              <w:widowControl/>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五、存在的主要问题及改进情况</w:t>
      </w:r>
    </w:p>
    <w:p>
      <w:pPr>
        <w:keepNext w:val="0"/>
        <w:keepLines w:val="0"/>
        <w:pageBreakBefore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2020年，市卫生健康委政府信息工作取得了一些成绩，但与做好新时代政务公开工作还有一定差距。</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政策解读形式不够丰富时效性较差。</w:t>
      </w:r>
      <w:r>
        <w:rPr>
          <w:rFonts w:hint="eastAsia" w:ascii="仿宋_GB2312" w:hAnsi="仿宋_GB2312" w:eastAsia="仿宋_GB2312" w:cs="仿宋_GB2312"/>
          <w:color w:val="auto"/>
          <w:sz w:val="32"/>
          <w:szCs w:val="32"/>
        </w:rPr>
        <w:t>解读形式</w:t>
      </w:r>
      <w:r>
        <w:rPr>
          <w:rFonts w:hint="eastAsia" w:ascii="仿宋_GB2312" w:hAnsi="仿宋_GB2312" w:eastAsia="仿宋_GB2312" w:cs="仿宋_GB2312"/>
          <w:color w:val="auto"/>
          <w:sz w:val="32"/>
          <w:szCs w:val="32"/>
          <w:lang w:val="en-US" w:eastAsia="zh-CN"/>
        </w:rPr>
        <w:t>单一</w:t>
      </w:r>
      <w:r>
        <w:rPr>
          <w:rFonts w:hint="eastAsia" w:ascii="仿宋_GB2312" w:hAnsi="仿宋_GB2312" w:eastAsia="仿宋_GB2312" w:cs="仿宋_GB2312"/>
          <w:color w:val="auto"/>
          <w:sz w:val="32"/>
          <w:szCs w:val="32"/>
        </w:rPr>
        <w:t>，较少运用图解、小视频等群众喜闻乐见、通俗易懂的方式以展现。</w:t>
      </w:r>
      <w:r>
        <w:rPr>
          <w:rFonts w:hint="eastAsia" w:ascii="仿宋_GB2312" w:hAnsi="仿宋_GB2312" w:eastAsia="仿宋_GB2312" w:cs="仿宋_GB2312"/>
          <w:b/>
          <w:bCs/>
          <w:i w:val="0"/>
          <w:caps w:val="0"/>
          <w:color w:val="auto"/>
          <w:spacing w:val="0"/>
          <w:sz w:val="32"/>
          <w:szCs w:val="32"/>
          <w:shd w:val="clear" w:fill="FFFFFF"/>
          <w:lang w:val="en-US" w:eastAsia="zh-CN"/>
        </w:rPr>
        <w:t>二是</w:t>
      </w:r>
      <w:r>
        <w:rPr>
          <w:rFonts w:hint="eastAsia" w:ascii="仿宋_GB2312" w:hAnsi="仿宋_GB2312" w:eastAsia="仿宋_GB2312" w:cs="仿宋_GB2312"/>
          <w:i w:val="0"/>
          <w:caps w:val="0"/>
          <w:color w:val="auto"/>
          <w:spacing w:val="0"/>
          <w:sz w:val="32"/>
          <w:szCs w:val="32"/>
          <w:shd w:val="clear" w:fill="FFFFFF"/>
        </w:rPr>
        <w:t>对新《条例》和自治区、呼伦贝尔市及我市政府信息公开工作规定的学习还不够透彻，政府信息公开宣传力度不够，发布信息的主动性还有待加强。</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针对上述问题，我们重点做了以下几方面的工作:</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认真落实政策解读方案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做到</w:t>
      </w:r>
      <w:r>
        <w:rPr>
          <w:rFonts w:hint="eastAsia" w:ascii="仿宋_GB2312" w:hAnsi="仿宋_GB2312" w:eastAsia="仿宋_GB2312" w:cs="仿宋_GB2312"/>
          <w:i w:val="0"/>
          <w:caps w:val="0"/>
          <w:color w:val="auto"/>
          <w:spacing w:val="0"/>
          <w:sz w:val="32"/>
          <w:szCs w:val="32"/>
          <w:shd w:val="clear" w:fill="FFFFFF"/>
        </w:rPr>
        <w:t>政策性文件制定与政策解读方案要同步组织、同步审签、同步部署。</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加大政务公开工作的宣传力度。</w:t>
      </w:r>
      <w:r>
        <w:rPr>
          <w:rFonts w:hint="eastAsia" w:ascii="仿宋_GB2312" w:eastAsia="仿宋_GB2312"/>
          <w:b w:val="0"/>
          <w:bCs w:val="0"/>
          <w:sz w:val="32"/>
          <w:szCs w:val="32"/>
          <w:lang w:val="en-US" w:eastAsia="zh-CN"/>
        </w:rPr>
        <w:t>继续在全系统开展学</w:t>
      </w:r>
      <w:r>
        <w:rPr>
          <w:rFonts w:hint="eastAsia" w:ascii="仿宋_GB2312" w:hAnsi="仿宋_GB2312" w:eastAsia="仿宋_GB2312" w:cs="仿宋_GB2312"/>
          <w:b w:val="0"/>
          <w:bCs w:val="0"/>
          <w:sz w:val="32"/>
          <w:szCs w:val="32"/>
          <w:lang w:val="en-US" w:eastAsia="zh-CN"/>
        </w:rPr>
        <w:t>习贯彻新修订的《中华人民共和国政府信息公开条例》，重点加强规范性文件、重大政策性文件编订、发布、解读的培训，使其准确理解掌握相关规定，依法履行政府信息公开职能。</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无其他需要报告的事项。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大标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7E2C7"/>
    <w:multiLevelType w:val="singleLevel"/>
    <w:tmpl w:val="6007E2C7"/>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3C1"/>
    <w:rsid w:val="001840A9"/>
    <w:rsid w:val="00413273"/>
    <w:rsid w:val="005563B3"/>
    <w:rsid w:val="00646173"/>
    <w:rsid w:val="006A63C1"/>
    <w:rsid w:val="007468F8"/>
    <w:rsid w:val="00756132"/>
    <w:rsid w:val="007D6A53"/>
    <w:rsid w:val="00860B91"/>
    <w:rsid w:val="008A6907"/>
    <w:rsid w:val="008D7CCA"/>
    <w:rsid w:val="00901530"/>
    <w:rsid w:val="00907475"/>
    <w:rsid w:val="009B6A58"/>
    <w:rsid w:val="00A054DB"/>
    <w:rsid w:val="00A2497F"/>
    <w:rsid w:val="00A537FC"/>
    <w:rsid w:val="00A55CC3"/>
    <w:rsid w:val="00AB36B5"/>
    <w:rsid w:val="00BD158D"/>
    <w:rsid w:val="00C4556A"/>
    <w:rsid w:val="00DB4B72"/>
    <w:rsid w:val="00E24646"/>
    <w:rsid w:val="00E94D62"/>
    <w:rsid w:val="00F02D2B"/>
    <w:rsid w:val="00F07B94"/>
    <w:rsid w:val="0A936C3E"/>
    <w:rsid w:val="174D10CA"/>
    <w:rsid w:val="17DF610F"/>
    <w:rsid w:val="182F7826"/>
    <w:rsid w:val="39201875"/>
    <w:rsid w:val="58417E7F"/>
    <w:rsid w:val="61EF112C"/>
    <w:rsid w:val="63A62353"/>
    <w:rsid w:val="690F554A"/>
    <w:rsid w:val="6A4C041A"/>
    <w:rsid w:val="74BB0947"/>
    <w:rsid w:val="79310467"/>
    <w:rsid w:val="79F024FF"/>
    <w:rsid w:val="7FD710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120" w:after="120"/>
      <w:jc w:val="center"/>
      <w:outlineLvl w:val="1"/>
    </w:pPr>
    <w:rPr>
      <w:rFonts w:ascii="Cambria" w:hAnsi="Cambria" w:eastAsia="方正小标宋简体" w:cs="Cambria"/>
      <w:sz w:val="36"/>
      <w:szCs w:val="36"/>
    </w:rPr>
  </w:style>
  <w:style w:type="character" w:default="1" w:styleId="9">
    <w:name w:val="Default Paragraph Font"/>
    <w:semiHidden/>
    <w:uiPriority w:val="99"/>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Date"/>
    <w:basedOn w:val="1"/>
    <w:next w:val="1"/>
    <w:link w:val="14"/>
    <w:semiHidden/>
    <w:qFormat/>
    <w:uiPriority w:val="99"/>
    <w:pPr>
      <w:ind w:left="100" w:leftChars="2500"/>
    </w:pPr>
  </w:style>
  <w:style w:type="paragraph" w:styleId="5">
    <w:name w:val="Balloon Text"/>
    <w:basedOn w:val="1"/>
    <w:link w:val="17"/>
    <w:semiHidden/>
    <w:qFormat/>
    <w:uiPriority w:val="99"/>
    <w:rPr>
      <w:sz w:val="18"/>
      <w:szCs w:val="18"/>
    </w:rPr>
  </w:style>
  <w:style w:type="paragraph" w:styleId="6">
    <w:name w:val="footer"/>
    <w:basedOn w:val="1"/>
    <w:link w:val="16"/>
    <w:semiHidden/>
    <w:qFormat/>
    <w:uiPriority w:val="99"/>
    <w:pPr>
      <w:tabs>
        <w:tab w:val="center" w:pos="4153"/>
        <w:tab w:val="right" w:pos="8306"/>
      </w:tabs>
      <w:snapToGrid w:val="0"/>
      <w:jc w:val="left"/>
    </w:pPr>
    <w:rPr>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semiHidden/>
    <w:qFormat/>
    <w:uiPriority w:val="99"/>
    <w:rPr>
      <w:color w:val="0000FF"/>
      <w:u w:val="single"/>
    </w:rPr>
  </w:style>
  <w:style w:type="character" w:customStyle="1" w:styleId="12">
    <w:name w:val="Heading 1 Char"/>
    <w:basedOn w:val="9"/>
    <w:link w:val="2"/>
    <w:qFormat/>
    <w:locked/>
    <w:uiPriority w:val="99"/>
    <w:rPr>
      <w:rFonts w:ascii="Calibri" w:hAnsi="Calibri" w:eastAsia="宋体" w:cs="Calibri"/>
      <w:b/>
      <w:bCs/>
      <w:kern w:val="44"/>
      <w:sz w:val="44"/>
      <w:szCs w:val="44"/>
    </w:rPr>
  </w:style>
  <w:style w:type="character" w:customStyle="1" w:styleId="13">
    <w:name w:val="Heading 2 Char"/>
    <w:basedOn w:val="9"/>
    <w:link w:val="3"/>
    <w:qFormat/>
    <w:locked/>
    <w:uiPriority w:val="99"/>
    <w:rPr>
      <w:rFonts w:ascii="Cambria" w:hAnsi="Cambria" w:eastAsia="方正小标宋简体" w:cs="Cambria"/>
      <w:sz w:val="36"/>
      <w:szCs w:val="36"/>
    </w:rPr>
  </w:style>
  <w:style w:type="character" w:customStyle="1" w:styleId="14">
    <w:name w:val="Date Char"/>
    <w:basedOn w:val="9"/>
    <w:link w:val="4"/>
    <w:semiHidden/>
    <w:qFormat/>
    <w:locked/>
    <w:uiPriority w:val="99"/>
    <w:rPr>
      <w:rFonts w:ascii="Calibri" w:hAnsi="Calibri" w:eastAsia="宋体" w:cs="Calibri"/>
      <w:sz w:val="21"/>
      <w:szCs w:val="21"/>
    </w:rPr>
  </w:style>
  <w:style w:type="character" w:customStyle="1" w:styleId="15">
    <w:name w:val="Header Char"/>
    <w:basedOn w:val="9"/>
    <w:link w:val="7"/>
    <w:semiHidden/>
    <w:qFormat/>
    <w:locked/>
    <w:uiPriority w:val="99"/>
    <w:rPr>
      <w:rFonts w:ascii="Calibri" w:hAnsi="Calibri" w:eastAsia="宋体" w:cs="Calibri"/>
      <w:sz w:val="18"/>
      <w:szCs w:val="18"/>
    </w:rPr>
  </w:style>
  <w:style w:type="character" w:customStyle="1" w:styleId="16">
    <w:name w:val="Footer Char"/>
    <w:basedOn w:val="9"/>
    <w:link w:val="6"/>
    <w:semiHidden/>
    <w:qFormat/>
    <w:locked/>
    <w:uiPriority w:val="99"/>
    <w:rPr>
      <w:rFonts w:ascii="Calibri" w:hAnsi="Calibri" w:eastAsia="宋体" w:cs="Calibri"/>
      <w:sz w:val="18"/>
      <w:szCs w:val="18"/>
    </w:rPr>
  </w:style>
  <w:style w:type="character" w:customStyle="1" w:styleId="17">
    <w:name w:val="Balloon Text Char"/>
    <w:basedOn w:val="9"/>
    <w:link w:val="5"/>
    <w:semiHidden/>
    <w:qFormat/>
    <w:locked/>
    <w:uiPriority w:val="99"/>
    <w:rPr>
      <w:rFonts w:ascii="Calibri" w:hAnsi="Calibri" w:eastAsia="宋体" w:cs="Calibri"/>
      <w:sz w:val="18"/>
      <w:szCs w:val="18"/>
    </w:rPr>
  </w:style>
  <w:style w:type="character" w:customStyle="1" w:styleId="18">
    <w:name w:val="font"/>
    <w:basedOn w:val="9"/>
    <w:qFormat/>
    <w:uiPriority w:val="99"/>
  </w:style>
  <w:style w:type="character" w:customStyle="1" w:styleId="19">
    <w:name w:val="bigger"/>
    <w:basedOn w:val="9"/>
    <w:qFormat/>
    <w:uiPriority w:val="99"/>
  </w:style>
  <w:style w:type="character" w:customStyle="1" w:styleId="20">
    <w:name w:val="medium"/>
    <w:basedOn w:val="9"/>
    <w:qFormat/>
    <w:uiPriority w:val="99"/>
  </w:style>
  <w:style w:type="character" w:customStyle="1" w:styleId="21">
    <w:name w:val="smaller"/>
    <w:basedOn w:val="9"/>
    <w:qFormat/>
    <w:uiPriority w:val="99"/>
  </w:style>
  <w:style w:type="character" w:customStyle="1" w:styleId="22">
    <w:name w:val="gwds_more"/>
    <w:basedOn w:val="9"/>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201</Words>
  <Characters>1150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2019-12-03T02:47:00Z</dcterms:created>
  <dc:creator>undefined</dc:creator>
  <cp:lastModifiedBy>42677</cp:lastModifiedBy>
  <dcterms:modified xsi:type="dcterms:W3CDTF">2021-01-29T02:50:02Z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