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满洲里市</w:t>
      </w:r>
      <w:r>
        <w:rPr>
          <w:rFonts w:hint="eastAsia" w:ascii="方正小标宋简体" w:hAnsi="方正小标宋简体" w:eastAsia="方正小标宋简体" w:cs="方正小标宋简体"/>
          <w:b w:val="0"/>
          <w:bCs w:val="0"/>
          <w:sz w:val="44"/>
          <w:szCs w:val="44"/>
          <w:lang w:val="en-US" w:eastAsia="zh-CN"/>
        </w:rPr>
        <w:t>人民政府办公室</w:t>
      </w:r>
    </w:p>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2021年政府信息公开工作年度报告</w:t>
      </w:r>
    </w:p>
    <w:p>
      <w:pPr>
        <w:pStyle w:val="7"/>
        <w:keepNext w:val="0"/>
        <w:keepLines w:val="0"/>
        <w:pageBreakBefore w:val="0"/>
        <w:widowControl/>
        <w:kinsoku/>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sz w:val="32"/>
          <w:szCs w:val="32"/>
        </w:rPr>
      </w:pPr>
    </w:p>
    <w:p>
      <w:pPr>
        <w:pStyle w:val="7"/>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一、总体情况</w:t>
      </w:r>
    </w:p>
    <w:p>
      <w:pPr>
        <w:pStyle w:val="7"/>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2021年，满洲里市</w:t>
      </w:r>
      <w:r>
        <w:rPr>
          <w:rFonts w:hint="eastAsia" w:ascii="仿宋" w:hAnsi="仿宋" w:eastAsia="仿宋" w:cs="仿宋"/>
          <w:sz w:val="32"/>
          <w:szCs w:val="32"/>
          <w:lang w:val="en-US" w:eastAsia="zh-CN"/>
        </w:rPr>
        <w:t>人民政府办公室</w:t>
      </w:r>
      <w:r>
        <w:rPr>
          <w:rFonts w:hint="eastAsia" w:ascii="仿宋" w:hAnsi="仿宋" w:eastAsia="仿宋" w:cs="仿宋"/>
          <w:sz w:val="32"/>
          <w:szCs w:val="32"/>
        </w:rPr>
        <w:t>认真贯彻落实《</w:t>
      </w:r>
      <w:r>
        <w:rPr>
          <w:rFonts w:hint="eastAsia" w:ascii="仿宋" w:hAnsi="仿宋" w:eastAsia="仿宋" w:cs="仿宋"/>
          <w:color w:val="333333"/>
          <w:sz w:val="32"/>
          <w:szCs w:val="32"/>
        </w:rPr>
        <w:t>中华人民共和国政府信息公开条例</w:t>
      </w:r>
      <w:r>
        <w:rPr>
          <w:rFonts w:hint="eastAsia" w:ascii="仿宋" w:hAnsi="仿宋" w:eastAsia="仿宋" w:cs="仿宋"/>
          <w:sz w:val="32"/>
          <w:szCs w:val="32"/>
        </w:rPr>
        <w:t>》，按照市委、市政府的统一部署，坚持围绕中心、服务大局，按照公开原则，及时、准确、全面公开群众普遍关心、涉及群众切身利益的政府信息，通过政府信息公开网全面、详实地公开本单位工作信息。扎实做好政务信息公开工作，切实保障人民群众的知情权、参与权、监督权和表达权。</w:t>
      </w:r>
    </w:p>
    <w:p>
      <w:pPr>
        <w:pStyle w:val="7"/>
        <w:keepNext w:val="0"/>
        <w:keepLines w:val="0"/>
        <w:pageBreakBefore w:val="0"/>
        <w:widowControl/>
        <w:kinsoku/>
        <w:wordWrap w:val="0"/>
        <w:overflowPunct/>
        <w:topLinePunct w:val="0"/>
        <w:autoSpaceDE/>
        <w:autoSpaceDN/>
        <w:bidi w:val="0"/>
        <w:adjustRightInd/>
        <w:snapToGrid/>
        <w:spacing w:beforeAutospacing="0" w:afterAutospacing="0" w:line="560" w:lineRule="exact"/>
        <w:ind w:right="260" w:firstLine="643" w:firstLineChars="200"/>
        <w:jc w:val="both"/>
        <w:textAlignment w:val="auto"/>
        <w:rPr>
          <w:rFonts w:hint="eastAsia" w:ascii="仿宋" w:hAnsi="仿宋" w:eastAsia="仿宋" w:cs="仿宋"/>
          <w:kern w:val="2"/>
          <w:sz w:val="32"/>
          <w:szCs w:val="32"/>
        </w:rPr>
      </w:pPr>
      <w:r>
        <w:rPr>
          <w:rFonts w:hint="eastAsia" w:ascii="楷体" w:hAnsi="楷体" w:eastAsia="楷体" w:cs="楷体"/>
          <w:b/>
          <w:bCs/>
          <w:sz w:val="32"/>
          <w:szCs w:val="32"/>
        </w:rPr>
        <w:t>(一)主动公开方面。</w:t>
      </w:r>
      <w:r>
        <w:rPr>
          <w:rFonts w:hint="eastAsia" w:ascii="仿宋" w:hAnsi="仿宋" w:eastAsia="仿宋" w:cs="仿宋"/>
          <w:b/>
          <w:bCs/>
          <w:kern w:val="2"/>
          <w:sz w:val="32"/>
          <w:szCs w:val="32"/>
        </w:rPr>
        <w:t>一是</w:t>
      </w:r>
      <w:r>
        <w:rPr>
          <w:rFonts w:hint="eastAsia" w:ascii="仿宋" w:hAnsi="仿宋" w:eastAsia="仿宋" w:cs="仿宋"/>
          <w:kern w:val="2"/>
          <w:sz w:val="32"/>
          <w:szCs w:val="32"/>
        </w:rPr>
        <w:t>认真落实法定公开要求。严格按照《中华人民共和国政府信息公开条例》规定及上级工作安排部署，加强信息公开审核，完善信息公开机制，进一步加强政府信息公开工作主动性、规范性、及时性，切实做好满洲里政府网站相关栏目信息更新维护工作，确保各栏目信息在规定时限前完成更新维护。</w:t>
      </w:r>
      <w:r>
        <w:rPr>
          <w:rFonts w:hint="eastAsia" w:ascii="仿宋" w:hAnsi="仿宋" w:eastAsia="仿宋" w:cs="仿宋"/>
          <w:b/>
          <w:bCs/>
          <w:kern w:val="2"/>
          <w:sz w:val="32"/>
          <w:szCs w:val="32"/>
        </w:rPr>
        <w:t>二是</w:t>
      </w:r>
      <w:r>
        <w:rPr>
          <w:rFonts w:hint="eastAsia" w:ascii="仿宋" w:hAnsi="仿宋" w:eastAsia="仿宋" w:cs="仿宋"/>
          <w:kern w:val="2"/>
          <w:sz w:val="32"/>
          <w:szCs w:val="32"/>
        </w:rPr>
        <w:t>持续做好重点领域信息公开。2021年，在满洲里政府网站</w:t>
      </w:r>
      <w:r>
        <w:rPr>
          <w:rFonts w:hint="eastAsia" w:ascii="仿宋" w:hAnsi="仿宋" w:eastAsia="仿宋" w:cs="仿宋"/>
          <w:kern w:val="2"/>
          <w:sz w:val="32"/>
          <w:szCs w:val="32"/>
          <w:lang w:val="en-US" w:eastAsia="zh-CN"/>
        </w:rPr>
        <w:t>公开政府文件4件，政府办文件17件，政策解读7件，规范性文件发布2件。发布政府公报六期。</w:t>
      </w:r>
      <w:bookmarkStart w:id="0" w:name="_GoBack"/>
      <w:bookmarkEnd w:id="0"/>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公示公告</w:t>
      </w:r>
      <w:r>
        <w:rPr>
          <w:rFonts w:hint="eastAsia" w:ascii="仿宋" w:hAnsi="仿宋" w:eastAsia="仿宋" w:cs="仿宋"/>
          <w:kern w:val="2"/>
          <w:sz w:val="32"/>
          <w:szCs w:val="32"/>
        </w:rPr>
        <w:t>”中发布信息</w:t>
      </w: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rPr>
        <w:t>条</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财务公开2条。发布金融机构存贷信息22条,发布金融服务监管业务工作动态信息4条，通过“满洲里市金融办”微信公众账号发布信息52条</w:t>
      </w:r>
      <w:r>
        <w:rPr>
          <w:rFonts w:hint="eastAsia" w:ascii="仿宋" w:hAnsi="仿宋" w:eastAsia="仿宋" w:cs="仿宋"/>
          <w:kern w:val="2"/>
          <w:sz w:val="32"/>
          <w:szCs w:val="32"/>
        </w:rPr>
        <w:t>。进一步完善了与群众切身利益密切相关领域政府信息常态化公开机制。</w:t>
      </w:r>
    </w:p>
    <w:p>
      <w:pPr>
        <w:pStyle w:val="7"/>
        <w:keepNext w:val="0"/>
        <w:keepLines w:val="0"/>
        <w:pageBreakBefore w:val="0"/>
        <w:widowControl/>
        <w:kinsoku/>
        <w:wordWrap w:val="0"/>
        <w:overflowPunct/>
        <w:topLinePunct w:val="0"/>
        <w:autoSpaceDE/>
        <w:autoSpaceDN/>
        <w:bidi w:val="0"/>
        <w:adjustRightInd/>
        <w:snapToGrid/>
        <w:spacing w:beforeAutospacing="0" w:afterAutospacing="0" w:line="560" w:lineRule="exact"/>
        <w:ind w:right="260"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sz w:val="32"/>
          <w:szCs w:val="32"/>
        </w:rPr>
        <w:t>（二）依申请公开方面。</w:t>
      </w:r>
      <w:r>
        <w:rPr>
          <w:rFonts w:hint="eastAsia" w:ascii="仿宋" w:hAnsi="仿宋" w:eastAsia="仿宋" w:cs="仿宋"/>
          <w:sz w:val="32"/>
          <w:szCs w:val="32"/>
        </w:rPr>
        <w:t>2021年度，</w:t>
      </w:r>
      <w:r>
        <w:rPr>
          <w:rFonts w:hint="eastAsia" w:ascii="仿宋" w:hAnsi="仿宋" w:eastAsia="仿宋" w:cs="仿宋"/>
          <w:sz w:val="32"/>
          <w:szCs w:val="32"/>
          <w:lang w:val="en-US" w:eastAsia="zh-CN"/>
        </w:rPr>
        <w:t>市政府办公室</w:t>
      </w:r>
      <w:r>
        <w:rPr>
          <w:rFonts w:hint="eastAsia" w:ascii="仿宋" w:hAnsi="仿宋" w:eastAsia="仿宋" w:cs="仿宋"/>
          <w:sz w:val="32"/>
          <w:szCs w:val="32"/>
        </w:rPr>
        <w:t>接到依申请公开事</w:t>
      </w:r>
      <w:r>
        <w:rPr>
          <w:rFonts w:hint="eastAsia" w:ascii="仿宋" w:hAnsi="仿宋" w:eastAsia="仿宋" w:cs="仿宋"/>
          <w:sz w:val="32"/>
          <w:szCs w:val="32"/>
          <w:lang w:val="en-US" w:eastAsia="zh-CN"/>
        </w:rPr>
        <w:t>件3件，已经全部答复完成</w:t>
      </w:r>
      <w:r>
        <w:rPr>
          <w:rFonts w:hint="eastAsia" w:ascii="仿宋" w:hAnsi="仿宋" w:eastAsia="仿宋" w:cs="仿宋"/>
          <w:sz w:val="32"/>
          <w:szCs w:val="32"/>
          <w:lang w:eastAsia="zh-CN"/>
        </w:rPr>
        <w:t>。</w:t>
      </w:r>
    </w:p>
    <w:p>
      <w:pPr>
        <w:pStyle w:val="7"/>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（三）政府信息管理方面。</w:t>
      </w:r>
      <w:r>
        <w:rPr>
          <w:rFonts w:hint="eastAsia" w:ascii="仿宋" w:hAnsi="仿宋" w:eastAsia="仿宋" w:cs="仿宋"/>
          <w:sz w:val="32"/>
          <w:szCs w:val="32"/>
        </w:rPr>
        <w:t>建立健全政府信息管理动态调整机制。严格保证政府信息公开内容准确无误，对发布的信息内容进行审查，严格注意公民隐私保护。 制度性和政策性</w:t>
      </w:r>
      <w:r>
        <w:rPr>
          <w:rFonts w:hint="eastAsia" w:ascii="仿宋" w:hAnsi="仿宋" w:eastAsia="仿宋" w:cs="仿宋"/>
          <w:kern w:val="2"/>
          <w:sz w:val="32"/>
          <w:szCs w:val="32"/>
        </w:rPr>
        <w:t>内容长期公开、阶段性工作逐段公开、经常性工作及时公开、动态性工作实时公开。</w:t>
      </w:r>
      <w:r>
        <w:rPr>
          <w:rFonts w:hint="eastAsia" w:ascii="仿宋" w:hAnsi="仿宋" w:eastAsia="仿宋" w:cs="仿宋"/>
          <w:sz w:val="32"/>
          <w:szCs w:val="32"/>
        </w:rPr>
        <w:t>坚持以公开为常态、不公开为例外，抓住涉及关键工作、关键环节，突出群众关心、社会关注、与群众利益关系最密切的重要事项，从内容和形式上重点加以深化，积极回应社会关切内容。</w:t>
      </w:r>
    </w:p>
    <w:p>
      <w:pPr>
        <w:keepNext w:val="0"/>
        <w:keepLines w:val="0"/>
        <w:pageBreakBefore w:val="0"/>
        <w:kinsoku/>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kern w:val="0"/>
          <w:sz w:val="32"/>
          <w:szCs w:val="32"/>
          <w:lang w:val="en-US" w:eastAsia="zh-CN" w:bidi="ar-SA"/>
        </w:rPr>
        <w:t>（四）平台建设方面。</w:t>
      </w:r>
      <w:r>
        <w:rPr>
          <w:rFonts w:hint="eastAsia" w:ascii="仿宋" w:hAnsi="仿宋" w:eastAsia="仿宋" w:cs="仿宋"/>
          <w:sz w:val="32"/>
          <w:szCs w:val="32"/>
        </w:rPr>
        <w:t>推进政府网站规范发展。建立网站信息发布审批制度，实行严格的信息采集、编辑、审核、发布流程，确保信息及时准确不涉密。</w:t>
      </w:r>
    </w:p>
    <w:p>
      <w:pPr>
        <w:keepNext w:val="0"/>
        <w:keepLines w:val="0"/>
        <w:pageBreakBefore w:val="0"/>
        <w:kinsoku/>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kern w:val="0"/>
          <w:sz w:val="32"/>
          <w:szCs w:val="32"/>
          <w:lang w:val="en-US" w:eastAsia="zh-CN"/>
        </w:rPr>
      </w:pPr>
      <w:r>
        <w:rPr>
          <w:rFonts w:hint="eastAsia" w:ascii="楷体" w:hAnsi="楷体" w:eastAsia="楷体" w:cs="楷体"/>
          <w:b/>
          <w:bCs/>
          <w:kern w:val="0"/>
          <w:sz w:val="32"/>
          <w:szCs w:val="32"/>
          <w:lang w:val="en-US" w:eastAsia="zh-CN" w:bidi="ar-SA"/>
        </w:rPr>
        <w:t>（五）监督保障方面。</w:t>
      </w:r>
      <w:r>
        <w:rPr>
          <w:rFonts w:hint="eastAsia" w:ascii="仿宋" w:hAnsi="仿宋" w:eastAsia="仿宋" w:cs="仿宋"/>
          <w:sz w:val="32"/>
          <w:szCs w:val="32"/>
        </w:rPr>
        <w:t>2021年度，</w:t>
      </w:r>
      <w:r>
        <w:rPr>
          <w:rFonts w:hint="eastAsia" w:ascii="仿宋" w:hAnsi="仿宋" w:eastAsia="仿宋" w:cs="仿宋"/>
          <w:sz w:val="32"/>
          <w:szCs w:val="32"/>
          <w:lang w:val="en-US" w:eastAsia="zh-CN"/>
        </w:rPr>
        <w:t>市政府办公室</w:t>
      </w:r>
      <w:r>
        <w:rPr>
          <w:rFonts w:hint="eastAsia" w:ascii="仿宋" w:hAnsi="仿宋" w:eastAsia="仿宋" w:cs="仿宋"/>
          <w:sz w:val="32"/>
          <w:szCs w:val="32"/>
        </w:rPr>
        <w:t>认真学习领悟党中央、国务院和自治区、市委、市政府关于全面推进政务公开工作的新精神、新要求、新理念，充分认识互联网环境下做好政务公开、政务服务工作的重大意义，转变观念，提高认识，分管领导亲自统筹协调推动，政务公开工作人员认真抓好落实</w:t>
      </w:r>
      <w:r>
        <w:rPr>
          <w:rFonts w:hint="eastAsia" w:ascii="仿宋" w:hAnsi="仿宋" w:eastAsia="仿宋" w:cs="仿宋"/>
          <w:kern w:val="0"/>
          <w:sz w:val="32"/>
          <w:szCs w:val="32"/>
        </w:rPr>
        <w:t>。健全审核机制，严把审核环节。每次公开内容在公开前必须经分管领导进行审核，特别重大的由</w:t>
      </w:r>
      <w:r>
        <w:rPr>
          <w:rFonts w:hint="eastAsia" w:ascii="仿宋" w:hAnsi="仿宋" w:eastAsia="仿宋" w:cs="仿宋"/>
          <w:kern w:val="0"/>
          <w:sz w:val="32"/>
          <w:szCs w:val="32"/>
          <w:lang w:val="en-US" w:eastAsia="zh-CN"/>
        </w:rPr>
        <w:t>办公室</w:t>
      </w:r>
      <w:r>
        <w:rPr>
          <w:rFonts w:hint="eastAsia" w:ascii="仿宋" w:hAnsi="仿宋" w:eastAsia="仿宋" w:cs="仿宋"/>
          <w:kern w:val="0"/>
          <w:sz w:val="32"/>
          <w:szCs w:val="32"/>
        </w:rPr>
        <w:t>主要负责人审核把关，坚持“谁供稿、谁负责”，确保责任到人。</w:t>
      </w:r>
      <w:r>
        <w:rPr>
          <w:rFonts w:hint="eastAsia" w:ascii="仿宋" w:hAnsi="仿宋" w:eastAsia="仿宋" w:cs="仿宋"/>
          <w:kern w:val="0"/>
          <w:sz w:val="32"/>
          <w:szCs w:val="32"/>
          <w:lang w:val="en-US" w:eastAsia="zh-CN"/>
        </w:rPr>
        <w:t>积极配合政务公开考核，社会评议较好，没有因</w:t>
      </w:r>
      <w:r>
        <w:rPr>
          <w:rFonts w:hint="eastAsia" w:ascii="仿宋" w:hAnsi="仿宋" w:eastAsia="仿宋" w:cs="仿宋"/>
          <w:kern w:val="0"/>
          <w:sz w:val="32"/>
          <w:szCs w:val="32"/>
        </w:rPr>
        <w:t>政府信息公开</w:t>
      </w:r>
      <w:r>
        <w:rPr>
          <w:rFonts w:hint="eastAsia" w:ascii="仿宋" w:hAnsi="仿宋" w:eastAsia="仿宋" w:cs="仿宋"/>
          <w:kern w:val="0"/>
          <w:sz w:val="32"/>
          <w:szCs w:val="32"/>
          <w:lang w:val="en-US" w:eastAsia="zh-CN"/>
        </w:rPr>
        <w:t>产生</w:t>
      </w:r>
      <w:r>
        <w:rPr>
          <w:rFonts w:hint="eastAsia" w:ascii="仿宋" w:hAnsi="仿宋" w:eastAsia="仿宋" w:cs="仿宋"/>
          <w:kern w:val="0"/>
          <w:sz w:val="32"/>
          <w:szCs w:val="32"/>
        </w:rPr>
        <w:t>行政复议、行政诉讼</w:t>
      </w:r>
      <w:r>
        <w:rPr>
          <w:rFonts w:hint="eastAsia" w:ascii="仿宋" w:hAnsi="仿宋" w:eastAsia="仿宋" w:cs="仿宋"/>
          <w:kern w:val="0"/>
          <w:sz w:val="32"/>
          <w:szCs w:val="32"/>
          <w:lang w:val="en-US" w:eastAsia="zh-CN"/>
        </w:rPr>
        <w:t xml:space="preserve">并被责任追究等情况。 </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kern w:val="0"/>
          <w:sz w:val="32"/>
          <w:szCs w:val="32"/>
          <w:lang w:val="en-US" w:eastAsia="zh-CN"/>
        </w:rPr>
      </w:pPr>
    </w:p>
    <w:p>
      <w:pPr>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sz w:val="32"/>
          <w:szCs w:val="32"/>
        </w:rPr>
        <w:t>二、主动公开政府信息情况</w:t>
      </w:r>
    </w:p>
    <w:tbl>
      <w:tblPr>
        <w:tblStyle w:val="9"/>
        <w:tblW w:w="8940" w:type="dxa"/>
        <w:jc w:val="center"/>
        <w:tblLayout w:type="fixed"/>
        <w:tblCellMar>
          <w:top w:w="0" w:type="dxa"/>
          <w:left w:w="0" w:type="dxa"/>
          <w:bottom w:w="0" w:type="dxa"/>
          <w:right w:w="0" w:type="dxa"/>
        </w:tblCellMar>
      </w:tblPr>
      <w:tblGrid>
        <w:gridCol w:w="2581"/>
        <w:gridCol w:w="2153"/>
        <w:gridCol w:w="2066"/>
        <w:gridCol w:w="2140"/>
      </w:tblGrid>
      <w:tr>
        <w:tblPrEx>
          <w:tblCellMar>
            <w:top w:w="0" w:type="dxa"/>
            <w:left w:w="0" w:type="dxa"/>
            <w:bottom w:w="0" w:type="dxa"/>
            <w:right w:w="0" w:type="dxa"/>
          </w:tblCellMar>
        </w:tblPrEx>
        <w:trPr>
          <w:trHeight w:val="893" w:hRule="atLeast"/>
          <w:jc w:val="center"/>
        </w:trPr>
        <w:tc>
          <w:tcPr>
            <w:tcW w:w="89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第二十条第（一）项</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color w:val="000000"/>
                <w:kern w:val="0"/>
                <w:sz w:val="32"/>
                <w:szCs w:val="32"/>
              </w:rPr>
              <w:t>信息内容</w:t>
            </w:r>
          </w:p>
        </w:tc>
        <w:tc>
          <w:tcPr>
            <w:tcW w:w="215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本年</w:t>
            </w:r>
            <w:r>
              <w:rPr>
                <w:rFonts w:hint="eastAsia" w:ascii="仿宋" w:hAnsi="仿宋" w:eastAsia="仿宋" w:cs="仿宋"/>
                <w:kern w:val="0"/>
                <w:sz w:val="32"/>
                <w:szCs w:val="32"/>
              </w:rPr>
              <w:t>制发件数</w:t>
            </w:r>
          </w:p>
        </w:tc>
        <w:tc>
          <w:tcPr>
            <w:tcW w:w="206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本年废止件数</w:t>
            </w:r>
          </w:p>
        </w:tc>
        <w:tc>
          <w:tcPr>
            <w:tcW w:w="214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现行有效件</w:t>
            </w:r>
            <w:r>
              <w:rPr>
                <w:rFonts w:hint="eastAsia" w:ascii="仿宋" w:hAnsi="仿宋" w:eastAsia="仿宋" w:cs="仿宋"/>
                <w:kern w:val="0"/>
                <w:sz w:val="32"/>
                <w:szCs w:val="32"/>
              </w:rPr>
              <w:t>数</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color w:val="000000"/>
                <w:kern w:val="0"/>
                <w:sz w:val="32"/>
                <w:szCs w:val="32"/>
              </w:rPr>
              <w:t>规章</w:t>
            </w:r>
          </w:p>
        </w:tc>
        <w:tc>
          <w:tcPr>
            <w:tcW w:w="215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color w:val="000000"/>
                <w:kern w:val="0"/>
                <w:sz w:val="32"/>
                <w:szCs w:val="32"/>
              </w:rPr>
              <w:t>0</w:t>
            </w:r>
          </w:p>
        </w:tc>
        <w:tc>
          <w:tcPr>
            <w:tcW w:w="206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color w:val="000000"/>
                <w:kern w:val="0"/>
                <w:sz w:val="32"/>
                <w:szCs w:val="32"/>
              </w:rPr>
              <w:t>0</w:t>
            </w:r>
          </w:p>
        </w:tc>
        <w:tc>
          <w:tcPr>
            <w:tcW w:w="214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行政规范性文件</w:t>
            </w:r>
          </w:p>
        </w:tc>
        <w:tc>
          <w:tcPr>
            <w:tcW w:w="215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eastAsia="zh-CN"/>
              </w:rPr>
            </w:pPr>
            <w:r>
              <w:rPr>
                <w:rFonts w:hint="eastAsia" w:ascii="仿宋" w:hAnsi="仿宋" w:eastAsia="仿宋" w:cs="仿宋"/>
                <w:color w:val="000000"/>
                <w:kern w:val="0"/>
                <w:sz w:val="32"/>
                <w:szCs w:val="32"/>
                <w:lang w:val="en-US" w:eastAsia="zh-CN"/>
              </w:rPr>
              <w:t>2</w:t>
            </w:r>
          </w:p>
        </w:tc>
        <w:tc>
          <w:tcPr>
            <w:tcW w:w="206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eastAsia="zh-CN"/>
              </w:rPr>
            </w:pPr>
            <w:r>
              <w:rPr>
                <w:rFonts w:hint="eastAsia" w:ascii="仿宋" w:hAnsi="仿宋" w:eastAsia="仿宋" w:cs="仿宋"/>
                <w:color w:val="000000"/>
                <w:kern w:val="0"/>
                <w:sz w:val="32"/>
                <w:szCs w:val="32"/>
                <w:lang w:val="en-US" w:eastAsia="zh-CN"/>
              </w:rPr>
              <w:t>0</w:t>
            </w:r>
          </w:p>
        </w:tc>
        <w:tc>
          <w:tcPr>
            <w:tcW w:w="214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CellMar>
            <w:top w:w="0" w:type="dxa"/>
            <w:left w:w="0" w:type="dxa"/>
            <w:bottom w:w="0" w:type="dxa"/>
            <w:right w:w="0" w:type="dxa"/>
          </w:tblCellMar>
        </w:tblPrEx>
        <w:trPr>
          <w:trHeight w:val="893" w:hRule="atLeast"/>
          <w:jc w:val="center"/>
        </w:trPr>
        <w:tc>
          <w:tcPr>
            <w:tcW w:w="89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第二十条第（五）项</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信息内容</w:t>
            </w:r>
          </w:p>
        </w:tc>
        <w:tc>
          <w:tcPr>
            <w:tcW w:w="6359"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本年处理决定数量</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行政许可</w:t>
            </w:r>
          </w:p>
        </w:tc>
        <w:tc>
          <w:tcPr>
            <w:tcW w:w="6359"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0</w:t>
            </w:r>
          </w:p>
        </w:tc>
      </w:tr>
      <w:tr>
        <w:tblPrEx>
          <w:tblCellMar>
            <w:top w:w="0" w:type="dxa"/>
            <w:left w:w="0" w:type="dxa"/>
            <w:bottom w:w="0" w:type="dxa"/>
            <w:right w:w="0" w:type="dxa"/>
          </w:tblCellMar>
        </w:tblPrEx>
        <w:trPr>
          <w:trHeight w:val="893" w:hRule="atLeast"/>
          <w:jc w:val="center"/>
        </w:trPr>
        <w:tc>
          <w:tcPr>
            <w:tcW w:w="89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第二十条第（六）项</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信息内容</w:t>
            </w:r>
          </w:p>
        </w:tc>
        <w:tc>
          <w:tcPr>
            <w:tcW w:w="6359"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本年处理决定数量</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行政处罚</w:t>
            </w:r>
          </w:p>
        </w:tc>
        <w:tc>
          <w:tcPr>
            <w:tcW w:w="6359"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lang w:eastAsia="zh-CN"/>
              </w:rPr>
            </w:pPr>
            <w:r>
              <w:rPr>
                <w:rFonts w:hint="eastAsia" w:ascii="仿宋" w:hAnsi="仿宋" w:eastAsia="仿宋" w:cs="仿宋"/>
                <w:color w:val="000000"/>
                <w:kern w:val="0"/>
                <w:sz w:val="32"/>
                <w:szCs w:val="32"/>
                <w:lang w:val="en-US" w:eastAsia="zh-CN"/>
              </w:rPr>
              <w:t>0</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行政强制</w:t>
            </w:r>
          </w:p>
        </w:tc>
        <w:tc>
          <w:tcPr>
            <w:tcW w:w="6359"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0</w:t>
            </w:r>
          </w:p>
        </w:tc>
      </w:tr>
      <w:tr>
        <w:tblPrEx>
          <w:tblCellMar>
            <w:top w:w="0" w:type="dxa"/>
            <w:left w:w="0" w:type="dxa"/>
            <w:bottom w:w="0" w:type="dxa"/>
            <w:right w:w="0" w:type="dxa"/>
          </w:tblCellMar>
        </w:tblPrEx>
        <w:trPr>
          <w:trHeight w:val="893" w:hRule="atLeast"/>
          <w:jc w:val="center"/>
        </w:trPr>
        <w:tc>
          <w:tcPr>
            <w:tcW w:w="89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第二十条第（八）项</w:t>
            </w:r>
          </w:p>
        </w:tc>
      </w:tr>
      <w:tr>
        <w:tblPrEx>
          <w:tblCellMar>
            <w:top w:w="0" w:type="dxa"/>
            <w:left w:w="0" w:type="dxa"/>
            <w:bottom w:w="0" w:type="dxa"/>
            <w:right w:w="0" w:type="dxa"/>
          </w:tblCellMar>
        </w:tblPrEx>
        <w:trPr>
          <w:trHeight w:val="89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信息内容</w:t>
            </w:r>
          </w:p>
        </w:tc>
        <w:tc>
          <w:tcPr>
            <w:tcW w:w="6359"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本年收费金额（单位：万元）</w:t>
            </w:r>
          </w:p>
        </w:tc>
      </w:tr>
      <w:tr>
        <w:tblPrEx>
          <w:tblCellMar>
            <w:top w:w="0" w:type="dxa"/>
            <w:left w:w="0" w:type="dxa"/>
            <w:bottom w:w="0" w:type="dxa"/>
            <w:right w:w="0" w:type="dxa"/>
          </w:tblCellMar>
        </w:tblPrEx>
        <w:trPr>
          <w:trHeight w:val="943" w:hRule="atLeast"/>
          <w:jc w:val="center"/>
        </w:trPr>
        <w:tc>
          <w:tcPr>
            <w:tcW w:w="2581"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color w:val="000000"/>
                <w:kern w:val="0"/>
                <w:sz w:val="32"/>
                <w:szCs w:val="32"/>
              </w:rPr>
              <w:t>行政事业性收费</w:t>
            </w:r>
          </w:p>
        </w:tc>
        <w:tc>
          <w:tcPr>
            <w:tcW w:w="6359"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pPr>
        <w:pStyle w:val="7"/>
        <w:widowControl/>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三、收到和处理政府信息公开申请情况</w:t>
      </w:r>
    </w:p>
    <w:tbl>
      <w:tblPr>
        <w:tblStyle w:val="9"/>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77"/>
        <w:gridCol w:w="922"/>
        <w:gridCol w:w="3235"/>
        <w:gridCol w:w="533"/>
        <w:gridCol w:w="693"/>
        <w:gridCol w:w="693"/>
        <w:gridCol w:w="693"/>
        <w:gridCol w:w="693"/>
        <w:gridCol w:w="693"/>
        <w:gridCol w:w="6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3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（本列数据的勾稽关系为：第一项加第二项之和，等于第三项加第四项之和）</w:t>
            </w:r>
          </w:p>
        </w:tc>
        <w:tc>
          <w:tcPr>
            <w:tcW w:w="4609"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3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sz w:val="32"/>
                <w:szCs w:val="32"/>
              </w:rPr>
            </w:pPr>
          </w:p>
        </w:tc>
        <w:tc>
          <w:tcPr>
            <w:tcW w:w="533"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自然人</w:t>
            </w:r>
          </w:p>
        </w:tc>
        <w:tc>
          <w:tcPr>
            <w:tcW w:w="34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法人或其他组织</w:t>
            </w:r>
          </w:p>
        </w:tc>
        <w:tc>
          <w:tcPr>
            <w:tcW w:w="611"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3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sz w:val="32"/>
                <w:szCs w:val="32"/>
              </w:rPr>
            </w:pPr>
          </w:p>
        </w:tc>
        <w:tc>
          <w:tcPr>
            <w:tcW w:w="533"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仿宋" w:hAnsi="仿宋" w:eastAsia="仿宋" w:cs="仿宋"/>
                <w:sz w:val="32"/>
                <w:szCs w:val="32"/>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商业</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企业</w:t>
            </w: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科研</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机构</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社会公益组织</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法律服务机构</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其他</w:t>
            </w:r>
          </w:p>
        </w:tc>
        <w:tc>
          <w:tcPr>
            <w:tcW w:w="611"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3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一、本年新收政府信息公开申请数量</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3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二、上年结转政府信息公开申请数量</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restart"/>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pPr>
              <w:widowControl/>
              <w:numPr>
                <w:ilvl w:val="0"/>
                <w:numId w:val="0"/>
              </w:numPr>
              <w:rPr>
                <w:rFonts w:hint="eastAsia"/>
                <w:lang w:val="en-US" w:eastAsia="zh-CN"/>
              </w:rPr>
            </w:pPr>
          </w:p>
          <w:p>
            <w:pPr>
              <w:widowControl/>
              <w:numPr>
                <w:ilvl w:val="0"/>
                <w:numId w:val="0"/>
              </w:numPr>
              <w:rPr>
                <w:rFonts w:hint="eastAsia"/>
                <w:lang w:val="en-US" w:eastAsia="zh-CN"/>
              </w:rPr>
            </w:pPr>
          </w:p>
          <w:p>
            <w:pPr>
              <w:widowControl/>
              <w:numPr>
                <w:ilvl w:val="0"/>
                <w:numId w:val="0"/>
              </w:num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widowControl/>
              <w:numPr>
                <w:ilvl w:val="0"/>
                <w:numId w:val="1"/>
              </w:numPr>
              <w:jc w:val="center"/>
              <w:rPr>
                <w:rFonts w:hint="eastAsia" w:ascii="仿宋" w:hAnsi="仿宋" w:eastAsia="仿宋" w:cs="仿宋"/>
                <w:kern w:val="0"/>
                <w:sz w:val="32"/>
                <w:szCs w:val="32"/>
              </w:rPr>
            </w:pPr>
            <w:r>
              <w:rPr>
                <w:rFonts w:hint="eastAsia" w:ascii="仿宋" w:hAnsi="仿宋" w:eastAsia="仿宋" w:cs="仿宋"/>
                <w:kern w:val="0"/>
                <w:sz w:val="32"/>
                <w:szCs w:val="32"/>
              </w:rPr>
              <w:t>本年度办理结果</w:t>
            </w: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center"/>
              <w:rPr>
                <w:rFonts w:hint="eastAsia"/>
              </w:rPr>
            </w:pP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本年度办理结果</w:t>
            </w:r>
          </w:p>
          <w:p>
            <w:pPr>
              <w:pStyle w:val="2"/>
              <w:widowControl w:val="0"/>
              <w:numPr>
                <w:ilvl w:val="0"/>
                <w:numId w:val="0"/>
              </w:numPr>
              <w:jc w:val="both"/>
              <w:rPr>
                <w:rFonts w:hint="eastAsia"/>
              </w:rPr>
            </w:pPr>
          </w:p>
          <w:p>
            <w:pPr>
              <w:pStyle w:val="2"/>
              <w:rPr>
                <w:rFonts w:hint="eastAsia" w:ascii="仿宋" w:hAnsi="仿宋" w:eastAsia="仿宋" w:cs="仿宋"/>
                <w:kern w:val="0"/>
                <w:sz w:val="32"/>
                <w:szCs w:val="32"/>
              </w:rPr>
            </w:pPr>
          </w:p>
          <w:p>
            <w:pPr>
              <w:pStyle w:val="2"/>
              <w:rPr>
                <w:rFonts w:hint="eastAsia" w:ascii="仿宋" w:hAnsi="仿宋" w:eastAsia="仿宋" w:cs="仿宋"/>
                <w:kern w:val="0"/>
                <w:sz w:val="32"/>
                <w:szCs w:val="32"/>
              </w:rPr>
            </w:pPr>
          </w:p>
          <w:p>
            <w:pPr>
              <w:pStyle w:val="2"/>
              <w:rPr>
                <w:rFonts w:hint="eastAsia" w:ascii="仿宋" w:hAnsi="仿宋" w:eastAsia="仿宋" w:cs="仿宋"/>
                <w:kern w:val="0"/>
                <w:sz w:val="32"/>
                <w:szCs w:val="32"/>
              </w:rPr>
            </w:pPr>
          </w:p>
          <w:p>
            <w:pPr>
              <w:pStyle w:val="2"/>
              <w:rPr>
                <w:rFonts w:hint="eastAsia" w:ascii="仿宋" w:hAnsi="仿宋" w:eastAsia="仿宋" w:cs="仿宋"/>
                <w:kern w:val="0"/>
                <w:sz w:val="32"/>
                <w:szCs w:val="32"/>
              </w:rPr>
            </w:pPr>
          </w:p>
          <w:p>
            <w:pPr>
              <w:pStyle w:val="2"/>
              <w:rPr>
                <w:rFonts w:hint="eastAsia"/>
              </w:rPr>
            </w:pPr>
          </w:p>
          <w:p>
            <w:pPr>
              <w:widowControl/>
              <w:numPr>
                <w:ilvl w:val="0"/>
                <w:numId w:val="0"/>
              </w:numPr>
              <w:rPr>
                <w:rFonts w:hint="eastAsia"/>
                <w:lang w:val="en-US" w:eastAsia="zh-CN"/>
              </w:rPr>
            </w:pPr>
          </w:p>
          <w:p>
            <w:pPr>
              <w:widowControl/>
              <w:numPr>
                <w:ilvl w:val="0"/>
                <w:numId w:val="0"/>
              </w:numPr>
              <w:rPr>
                <w:rFonts w:hint="eastAsia"/>
                <w:lang w:val="en-US" w:eastAsia="zh-CN"/>
              </w:rPr>
            </w:pPr>
          </w:p>
          <w:p>
            <w:pPr>
              <w:widowControl/>
              <w:numPr>
                <w:ilvl w:val="0"/>
                <w:numId w:val="0"/>
              </w:numPr>
              <w:rPr>
                <w:rFonts w:hint="eastAsia"/>
                <w:lang w:val="en-US" w:eastAsia="zh-CN"/>
              </w:rPr>
            </w:pPr>
          </w:p>
          <w:p>
            <w:pPr>
              <w:widowControl/>
              <w:numPr>
                <w:ilvl w:val="0"/>
                <w:numId w:val="0"/>
              </w:numPr>
              <w:rPr>
                <w:rFonts w:hint="eastAsia"/>
                <w:lang w:val="en-US" w:eastAsia="zh-CN"/>
              </w:rPr>
            </w:pPr>
          </w:p>
          <w:p>
            <w:pPr>
              <w:widowControl/>
              <w:numPr>
                <w:ilvl w:val="0"/>
                <w:numId w:val="0"/>
              </w:numPr>
              <w:rPr>
                <w:rFonts w:hint="eastAsia"/>
                <w:lang w:val="en-US" w:eastAsia="zh-CN"/>
              </w:rPr>
            </w:pPr>
          </w:p>
          <w:p>
            <w:pPr>
              <w:widowControl/>
              <w:numPr>
                <w:ilvl w:val="0"/>
                <w:numId w:val="0"/>
              </w:numPr>
              <w:rPr>
                <w:rFonts w:hint="eastAsia"/>
                <w:lang w:val="en-US" w:eastAsia="zh-CN"/>
              </w:rPr>
            </w:pPr>
            <w:r>
              <w:rPr>
                <w:rFonts w:hint="eastAsia"/>
                <w:lang w:val="en-US" w:eastAsia="zh-CN"/>
              </w:rPr>
              <w:t xml:space="preserve">    </w:t>
            </w: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tc>
        <w:tc>
          <w:tcPr>
            <w:tcW w:w="4157" w:type="dxa"/>
            <w:gridSpan w:val="2"/>
            <w:tcBorders>
              <w:top w:val="nil"/>
              <w:left w:val="nil"/>
              <w:bottom w:val="single" w:color="auto" w:sz="4"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（一）予以公开</w:t>
            </w:r>
          </w:p>
        </w:tc>
        <w:tc>
          <w:tcPr>
            <w:tcW w:w="53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11" w:type="dxa"/>
            <w:tcBorders>
              <w:top w:val="single" w:color="auto" w:sz="8" w:space="0"/>
              <w:left w:val="nil"/>
              <w:bottom w:val="single" w:color="auto" w:sz="4"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4" w:hRule="atLeast"/>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4157" w:type="dxa"/>
            <w:gridSpan w:val="2"/>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（二）部分公开（区分处理的，只计这一情形，不计其他情形）</w:t>
            </w:r>
          </w:p>
        </w:tc>
        <w:tc>
          <w:tcPr>
            <w:tcW w:w="53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eastAsia="zh-CN"/>
              </w:rPr>
            </w:pPr>
            <w:r>
              <w:rPr>
                <w:rFonts w:hint="eastAsia" w:ascii="仿宋" w:hAnsi="仿宋" w:eastAsia="仿宋" w:cs="仿宋"/>
                <w:kern w:val="0"/>
                <w:sz w:val="32"/>
                <w:szCs w:val="32"/>
                <w:lang w:val="en-US" w:eastAsia="zh-CN"/>
              </w:rPr>
              <w:t>1</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pStyle w:val="2"/>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（三）不予公开</w:t>
            </w: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widowControl/>
              <w:rPr>
                <w:rFonts w:hint="eastAsia" w:ascii="仿宋" w:hAnsi="仿宋" w:eastAsia="仿宋" w:cs="仿宋"/>
                <w:sz w:val="32"/>
                <w:szCs w:val="32"/>
              </w:rPr>
            </w:pPr>
            <w:r>
              <w:rPr>
                <w:rFonts w:hint="eastAsia" w:ascii="仿宋" w:hAnsi="仿宋" w:eastAsia="仿宋" w:cs="仿宋"/>
                <w:kern w:val="0"/>
                <w:sz w:val="32"/>
                <w:szCs w:val="32"/>
              </w:rPr>
              <w:t>1.属于国家秘密</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lang w:eastAsia="zh-CN"/>
              </w:rPr>
            </w:pPr>
            <w:r>
              <w:rPr>
                <w:rFonts w:hint="eastAsia" w:ascii="仿宋" w:hAnsi="仿宋" w:eastAsia="仿宋" w:cs="仿宋"/>
                <w:kern w:val="0"/>
                <w:sz w:val="32"/>
                <w:szCs w:val="32"/>
                <w:lang w:val="en-US" w:eastAsia="zh-CN"/>
              </w:rPr>
              <w:t>2</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lang w:eastAsia="zh-CN"/>
              </w:rPr>
            </w:pPr>
            <w:r>
              <w:rPr>
                <w:rFonts w:hint="eastAsia" w:ascii="仿宋" w:hAnsi="仿宋" w:eastAsia="仿宋" w:cs="仿宋"/>
                <w:kern w:val="0"/>
                <w:sz w:val="32"/>
                <w:szCs w:val="32"/>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3" w:hRule="atLeast"/>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2.其他法律行政法规禁止公开</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lang w:val="en-US" w:eastAsia="zh-CN"/>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4"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3.危及“三安全一稳定”</w:t>
            </w:r>
          </w:p>
        </w:tc>
        <w:tc>
          <w:tcPr>
            <w:tcW w:w="53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4"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single" w:color="auto" w:sz="4"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4.保护第三方合法权益</w:t>
            </w:r>
          </w:p>
        </w:tc>
        <w:tc>
          <w:tcPr>
            <w:tcW w:w="53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single" w:color="auto" w:sz="4" w:space="0"/>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0" w:hRule="atLeast"/>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5.属于三类内部事务信息</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3" w:hRule="atLeast"/>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6.属于四类过程性信息</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9" w:hRule="atLeast"/>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widowControl/>
              <w:rPr>
                <w:rFonts w:hint="eastAsia" w:ascii="仿宋" w:hAnsi="仿宋" w:eastAsia="仿宋" w:cs="仿宋"/>
                <w:sz w:val="32"/>
                <w:szCs w:val="32"/>
              </w:rPr>
            </w:pPr>
            <w:r>
              <w:rPr>
                <w:rFonts w:hint="eastAsia" w:ascii="仿宋" w:hAnsi="仿宋" w:eastAsia="仿宋" w:cs="仿宋"/>
                <w:kern w:val="0"/>
                <w:sz w:val="32"/>
                <w:szCs w:val="32"/>
              </w:rPr>
              <w:t>7.属于行政执法案卷</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1" w:hRule="atLeast"/>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4" w:space="0"/>
              <w:right w:val="single" w:color="auto" w:sz="8" w:space="0"/>
            </w:tcBorders>
            <w:shd w:val="clear" w:color="auto" w:fill="auto"/>
            <w:tcMar>
              <w:left w:w="57" w:type="dxa"/>
              <w:right w:w="57" w:type="dxa"/>
            </w:tcMar>
          </w:tcPr>
          <w:p>
            <w:pPr>
              <w:widowControl/>
              <w:rPr>
                <w:rFonts w:hint="eastAsia" w:ascii="仿宋" w:hAnsi="仿宋" w:eastAsia="仿宋" w:cs="仿宋"/>
                <w:sz w:val="32"/>
                <w:szCs w:val="32"/>
              </w:rPr>
            </w:pPr>
            <w:r>
              <w:rPr>
                <w:rFonts w:hint="eastAsia" w:ascii="仿宋" w:hAnsi="仿宋" w:eastAsia="仿宋" w:cs="仿宋"/>
                <w:kern w:val="0"/>
                <w:sz w:val="32"/>
                <w:szCs w:val="32"/>
              </w:rPr>
              <w:t>8.属于行政查询事项</w:t>
            </w:r>
          </w:p>
        </w:tc>
        <w:tc>
          <w:tcPr>
            <w:tcW w:w="53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4"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restart"/>
            <w:tcBorders>
              <w:top w:val="single" w:color="auto" w:sz="4" w:space="0"/>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（四）无法提供</w:t>
            </w:r>
          </w:p>
        </w:tc>
        <w:tc>
          <w:tcPr>
            <w:tcW w:w="3235" w:type="dxa"/>
            <w:tcBorders>
              <w:top w:val="single" w:color="auto" w:sz="4"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1.本机关不掌握相关政府信息</w:t>
            </w:r>
          </w:p>
        </w:tc>
        <w:tc>
          <w:tcPr>
            <w:tcW w:w="53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single" w:color="auto" w:sz="4" w:space="0"/>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2.没有现成信息需要另行制作</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3.补正后申请内容仍不明确</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（五）不予处理</w:t>
            </w: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1.信访举报投诉类申请</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 w:hRule="atLeast"/>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2.重复申请</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3.要求提供公开出版物</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4"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4.无正当理由大量反复申请</w:t>
            </w:r>
          </w:p>
        </w:tc>
        <w:tc>
          <w:tcPr>
            <w:tcW w:w="53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4"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5.要求行政机关确认或重新出具已获取信息</w:t>
            </w:r>
          </w:p>
        </w:tc>
        <w:tc>
          <w:tcPr>
            <w:tcW w:w="533"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single" w:color="auto" w:sz="4" w:space="0"/>
              <w:left w:val="nil"/>
              <w:bottom w:val="single" w:color="auto" w:sz="4"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32"/>
                <w:szCs w:val="3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（六）其他处理</w:t>
            </w:r>
          </w:p>
        </w:tc>
        <w:tc>
          <w:tcPr>
            <w:tcW w:w="3235"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1.申请人无正当理由逾期不补正、行政机关不再处理其政府信息公开申请</w:t>
            </w:r>
          </w:p>
        </w:tc>
        <w:tc>
          <w:tcPr>
            <w:tcW w:w="53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single" w:color="auto" w:sz="4" w:space="0"/>
              <w:left w:val="nil"/>
              <w:bottom w:val="single" w:color="auto" w:sz="8" w:space="0"/>
              <w:right w:val="single" w:color="auto" w:sz="8" w:space="0"/>
            </w:tcBorders>
            <w:shd w:val="clear" w:color="auto" w:fill="auto"/>
            <w:tcMar>
              <w:left w:w="57" w:type="dxa"/>
              <w:right w:w="57" w:type="dxa"/>
            </w:tcMar>
          </w:tcPr>
          <w:p>
            <w:pPr>
              <w:widowControl/>
              <w:ind w:firstLine="320" w:firstLineChars="100"/>
              <w:jc w:val="center"/>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32"/>
                <w:szCs w:val="32"/>
              </w:rPr>
            </w:pPr>
          </w:p>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2.申请人逾期未按收费通知要求缴纳费用、行政机关不再处理其政府信息公开申请</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32"/>
                <w:szCs w:val="32"/>
              </w:rPr>
            </w:pPr>
          </w:p>
          <w:p>
            <w:pPr>
              <w:widowControl/>
              <w:jc w:val="center"/>
              <w:rPr>
                <w:rFonts w:hint="eastAsia" w:ascii="仿宋" w:hAnsi="仿宋" w:eastAsia="仿宋" w:cs="仿宋"/>
                <w:kern w:val="0"/>
                <w:sz w:val="32"/>
                <w:szCs w:val="32"/>
              </w:rPr>
            </w:pPr>
          </w:p>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922"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32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3.其他</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7" w:type="dxa"/>
            <w:vMerge w:val="continue"/>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pPr>
              <w:rPr>
                <w:rFonts w:hint="eastAsia" w:ascii="仿宋" w:hAnsi="仿宋" w:eastAsia="仿宋" w:cs="仿宋"/>
                <w:sz w:val="32"/>
                <w:szCs w:val="32"/>
              </w:rPr>
            </w:pPr>
          </w:p>
        </w:tc>
        <w:tc>
          <w:tcPr>
            <w:tcW w:w="415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（七）总计</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3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四、结转下年度继续办理</w:t>
            </w:r>
          </w:p>
        </w:tc>
        <w:tc>
          <w:tcPr>
            <w:tcW w:w="53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bl>
    <w:p>
      <w:pPr>
        <w:pStyle w:val="7"/>
        <w:widowControl/>
        <w:numPr>
          <w:ilvl w:val="0"/>
          <w:numId w:val="0"/>
        </w:numPr>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政府信息公开行政复议、行政诉讼情况</w:t>
      </w:r>
    </w:p>
    <w:tbl>
      <w:tblPr>
        <w:tblStyle w:val="9"/>
        <w:tblW w:w="949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24"/>
        <w:gridCol w:w="624"/>
        <w:gridCol w:w="624"/>
        <w:gridCol w:w="624"/>
        <w:gridCol w:w="634"/>
        <w:gridCol w:w="624"/>
        <w:gridCol w:w="624"/>
        <w:gridCol w:w="625"/>
        <w:gridCol w:w="625"/>
        <w:gridCol w:w="635"/>
        <w:gridCol w:w="625"/>
        <w:gridCol w:w="625"/>
        <w:gridCol w:w="625"/>
        <w:gridCol w:w="625"/>
        <w:gridCol w:w="7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86" w:hRule="atLeast"/>
        </w:trPr>
        <w:tc>
          <w:tcPr>
            <w:tcW w:w="313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行政复议</w:t>
            </w:r>
          </w:p>
        </w:tc>
        <w:tc>
          <w:tcPr>
            <w:tcW w:w="6369"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62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结果维持</w:t>
            </w:r>
          </w:p>
        </w:tc>
        <w:tc>
          <w:tcPr>
            <w:tcW w:w="62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纠正</w:t>
            </w:r>
          </w:p>
        </w:tc>
        <w:tc>
          <w:tcPr>
            <w:tcW w:w="62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其他</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结果</w:t>
            </w:r>
          </w:p>
        </w:tc>
        <w:tc>
          <w:tcPr>
            <w:tcW w:w="62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尚未</w:t>
            </w:r>
            <w:r>
              <w:rPr>
                <w:rFonts w:hint="eastAsia" w:ascii="仿宋" w:hAnsi="仿宋" w:eastAsia="仿宋" w:cs="仿宋"/>
                <w:kern w:val="0"/>
                <w:sz w:val="32"/>
                <w:szCs w:val="32"/>
              </w:rPr>
              <w:br w:type="textWrapping"/>
            </w:r>
            <w:r>
              <w:rPr>
                <w:rFonts w:hint="eastAsia" w:ascii="仿宋" w:hAnsi="仿宋" w:eastAsia="仿宋" w:cs="仿宋"/>
                <w:kern w:val="0"/>
                <w:sz w:val="32"/>
                <w:szCs w:val="32"/>
              </w:rPr>
              <w:t>审结</w:t>
            </w:r>
          </w:p>
        </w:tc>
        <w:tc>
          <w:tcPr>
            <w:tcW w:w="63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总</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kern w:val="0"/>
                <w:sz w:val="32"/>
                <w:szCs w:val="32"/>
              </w:rPr>
            </w:pP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kern w:val="0"/>
                <w:sz w:val="32"/>
                <w:szCs w:val="32"/>
              </w:rPr>
              <w:t>计</w:t>
            </w:r>
          </w:p>
        </w:tc>
        <w:tc>
          <w:tcPr>
            <w:tcW w:w="313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未经复议直接起诉</w:t>
            </w:r>
          </w:p>
        </w:tc>
        <w:tc>
          <w:tcPr>
            <w:tcW w:w="323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32"/>
                <w:szCs w:val="32"/>
              </w:rPr>
            </w:pPr>
            <w:r>
              <w:rPr>
                <w:rFonts w:hint="eastAsia" w:ascii="仿宋" w:hAnsi="仿宋" w:eastAsia="仿宋" w:cs="仿宋"/>
                <w:kern w:val="0"/>
                <w:sz w:val="32"/>
                <w:szCs w:val="3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86" w:hRule="atLeast"/>
        </w:trPr>
        <w:tc>
          <w:tcPr>
            <w:tcW w:w="62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sz w:val="32"/>
                <w:szCs w:val="32"/>
              </w:rPr>
            </w:pPr>
          </w:p>
        </w:tc>
        <w:tc>
          <w:tcPr>
            <w:tcW w:w="62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sz w:val="32"/>
                <w:szCs w:val="32"/>
              </w:rPr>
            </w:pPr>
          </w:p>
        </w:tc>
        <w:tc>
          <w:tcPr>
            <w:tcW w:w="62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sz w:val="32"/>
                <w:szCs w:val="32"/>
              </w:rPr>
            </w:pPr>
          </w:p>
        </w:tc>
        <w:tc>
          <w:tcPr>
            <w:tcW w:w="62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sz w:val="32"/>
                <w:szCs w:val="32"/>
              </w:rPr>
            </w:pPr>
          </w:p>
        </w:tc>
        <w:tc>
          <w:tcPr>
            <w:tcW w:w="63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sz w:val="32"/>
                <w:szCs w:val="32"/>
              </w:rPr>
            </w:pP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维持</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纠正</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其他</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结果</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尚未</w:t>
            </w:r>
            <w:r>
              <w:rPr>
                <w:rFonts w:hint="eastAsia" w:ascii="仿宋" w:hAnsi="仿宋" w:eastAsia="仿宋" w:cs="仿宋"/>
                <w:kern w:val="0"/>
                <w:sz w:val="32"/>
                <w:szCs w:val="32"/>
              </w:rPr>
              <w:br w:type="textWrapping"/>
            </w:r>
            <w:r>
              <w:rPr>
                <w:rFonts w:hint="eastAsia" w:ascii="仿宋" w:hAnsi="仿宋" w:eastAsia="仿宋" w:cs="仿宋"/>
                <w:kern w:val="0"/>
                <w:sz w:val="32"/>
                <w:szCs w:val="32"/>
              </w:rPr>
              <w:t>审结</w:t>
            </w:r>
          </w:p>
        </w:tc>
        <w:tc>
          <w:tcPr>
            <w:tcW w:w="63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总计</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维持</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纠正</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其他</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结果</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rPr>
              <w:t>尚未</w:t>
            </w:r>
            <w:r>
              <w:rPr>
                <w:rFonts w:hint="eastAsia" w:ascii="仿宋" w:hAnsi="仿宋" w:eastAsia="仿宋" w:cs="仿宋"/>
                <w:kern w:val="0"/>
                <w:sz w:val="32"/>
                <w:szCs w:val="32"/>
              </w:rPr>
              <w:br w:type="textWrapping"/>
            </w:r>
            <w:r>
              <w:rPr>
                <w:rFonts w:hint="eastAsia" w:ascii="仿宋" w:hAnsi="仿宋" w:eastAsia="仿宋" w:cs="仿宋"/>
                <w:kern w:val="0"/>
                <w:sz w:val="32"/>
                <w:szCs w:val="32"/>
              </w:rPr>
              <w:t>审结</w:t>
            </w:r>
          </w:p>
        </w:tc>
        <w:tc>
          <w:tcPr>
            <w:tcW w:w="7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hint="eastAsia" w:ascii="仿宋" w:hAnsi="仿宋" w:eastAsia="仿宋" w:cs="仿宋"/>
                <w:sz w:val="32"/>
                <w:szCs w:val="32"/>
              </w:rPr>
            </w:pPr>
            <w:r>
              <w:rPr>
                <w:rFonts w:hint="eastAsia" w:ascii="仿宋" w:hAnsi="仿宋" w:eastAsia="仿宋" w:cs="仿宋"/>
                <w:kern w:val="0"/>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trPr>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rPr>
              <w:t>0</w:t>
            </w:r>
          </w:p>
        </w:tc>
        <w:tc>
          <w:tcPr>
            <w:tcW w:w="63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3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sz w:val="32"/>
          <w:szCs w:val="32"/>
          <w:lang w:val="en-US" w:eastAsia="zh-CN"/>
        </w:rPr>
        <w:t>市政府办公室</w:t>
      </w:r>
      <w:r>
        <w:rPr>
          <w:rFonts w:hint="eastAsia" w:ascii="仿宋" w:hAnsi="仿宋" w:eastAsia="仿宋" w:cs="仿宋"/>
          <w:sz w:val="32"/>
          <w:szCs w:val="32"/>
        </w:rPr>
        <w:t>政务信息公开工作虽然取得了一定进展，但离市委、市政府的要求、人民群众的期盼还有一定的差距。</w:t>
      </w:r>
      <w:r>
        <w:rPr>
          <w:rFonts w:hint="eastAsia" w:ascii="仿宋" w:hAnsi="仿宋" w:eastAsia="仿宋" w:cs="仿宋"/>
          <w:b/>
          <w:bCs/>
          <w:sz w:val="32"/>
          <w:szCs w:val="32"/>
        </w:rPr>
        <w:t>一是</w:t>
      </w:r>
      <w:r>
        <w:rPr>
          <w:rFonts w:hint="eastAsia" w:ascii="仿宋" w:hAnsi="仿宋" w:eastAsia="仿宋" w:cs="仿宋"/>
          <w:sz w:val="32"/>
          <w:szCs w:val="32"/>
        </w:rPr>
        <w:t>政务信息公开力度有待进一步加大；</w:t>
      </w:r>
      <w:r>
        <w:rPr>
          <w:rFonts w:hint="eastAsia" w:ascii="仿宋" w:hAnsi="仿宋" w:eastAsia="仿宋" w:cs="仿宋"/>
          <w:b/>
          <w:bCs/>
          <w:sz w:val="32"/>
          <w:szCs w:val="32"/>
        </w:rPr>
        <w:t>二是</w:t>
      </w:r>
      <w:r>
        <w:rPr>
          <w:rFonts w:hint="eastAsia" w:ascii="仿宋" w:hAnsi="仿宋" w:eastAsia="仿宋" w:cs="仿宋"/>
          <w:sz w:val="32"/>
          <w:szCs w:val="32"/>
        </w:rPr>
        <w:t>政务信息公开的内容还不够全面；</w:t>
      </w:r>
      <w:r>
        <w:rPr>
          <w:rFonts w:hint="eastAsia" w:ascii="仿宋" w:hAnsi="仿宋" w:eastAsia="仿宋" w:cs="仿宋"/>
          <w:b/>
          <w:bCs/>
          <w:sz w:val="32"/>
          <w:szCs w:val="32"/>
        </w:rPr>
        <w:t>三是</w:t>
      </w:r>
      <w:r>
        <w:rPr>
          <w:rFonts w:hint="eastAsia" w:ascii="仿宋" w:hAnsi="仿宋" w:eastAsia="仿宋" w:cs="仿宋"/>
          <w:sz w:val="32"/>
          <w:szCs w:val="32"/>
        </w:rPr>
        <w:t>信息公开更新还不够及时。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今后，</w:t>
      </w:r>
      <w:r>
        <w:rPr>
          <w:rFonts w:hint="eastAsia" w:ascii="仿宋" w:hAnsi="仿宋" w:eastAsia="仿宋" w:cs="仿宋"/>
          <w:sz w:val="32"/>
          <w:szCs w:val="32"/>
          <w:lang w:val="en-US" w:eastAsia="zh-CN"/>
        </w:rPr>
        <w:t>市政府办公室</w:t>
      </w:r>
      <w:r>
        <w:rPr>
          <w:rFonts w:hint="eastAsia" w:ascii="仿宋" w:hAnsi="仿宋" w:eastAsia="仿宋" w:cs="仿宋"/>
          <w:sz w:val="32"/>
          <w:szCs w:val="32"/>
        </w:rPr>
        <w:t>将根据政务信息公开工作要求，进一步做好政务公开工作，切实在当前工作基础上进一步提升政务公开工作水平，更加便于群众知情、办事和监督。针对工作过程中的薄弱环节，积极主动作为，采取更加有效的措施。</w:t>
      </w:r>
      <w:r>
        <w:rPr>
          <w:rFonts w:hint="eastAsia" w:ascii="仿宋" w:hAnsi="仿宋" w:eastAsia="仿宋" w:cs="仿宋"/>
          <w:b/>
          <w:bCs/>
          <w:sz w:val="32"/>
          <w:szCs w:val="32"/>
        </w:rPr>
        <w:t>一是</w:t>
      </w:r>
      <w:r>
        <w:rPr>
          <w:rFonts w:hint="eastAsia" w:ascii="仿宋" w:hAnsi="仿宋" w:eastAsia="仿宋" w:cs="仿宋"/>
          <w:sz w:val="32"/>
          <w:szCs w:val="32"/>
        </w:rPr>
        <w:t>提高思想认识，加大信息公开力度，拓展社会信息公开范围。</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是</w:t>
      </w:r>
      <w:r>
        <w:rPr>
          <w:rFonts w:hint="eastAsia" w:ascii="仿宋" w:hAnsi="仿宋" w:eastAsia="仿宋" w:cs="仿宋"/>
          <w:sz w:val="32"/>
          <w:szCs w:val="32"/>
        </w:rPr>
        <w:t>加强全局政府信息公开工作的规范性、主动性、及时性。进一步完善信息公开制度，强化信息公开的责任意识、大局意识、服务意识，确保政务信息公开工作及时、准确。</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kern w:val="0"/>
          <w:sz w:val="32"/>
          <w:szCs w:val="32"/>
          <w:lang w:val="en-US" w:eastAsia="zh-CN" w:bidi="ar-SA"/>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2021年市政府办公室未收取信息处理费。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按照《满洲里市政务公开工作要点》的要求，2021年，市政府办公室加大了</w:t>
      </w:r>
      <w:r>
        <w:rPr>
          <w:rFonts w:hint="eastAsia" w:ascii="仿宋_GB2312" w:hAnsi="仿宋_GB2312" w:eastAsia="仿宋_GB2312" w:cs="仿宋_GB2312"/>
          <w:color w:val="000000"/>
          <w:sz w:val="32"/>
          <w:szCs w:val="32"/>
          <w:lang w:val="en-US" w:eastAsia="zh-CN"/>
        </w:rPr>
        <w:t>蒙文网站工作力度。</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eastAsia="zh-CN"/>
        </w:rPr>
        <w:t>按照自治区、呼伦贝尔有关工作要求，完成</w:t>
      </w:r>
      <w:r>
        <w:rPr>
          <w:rFonts w:hint="eastAsia" w:ascii="仿宋" w:hAnsi="仿宋" w:eastAsia="仿宋" w:cs="仿宋"/>
          <w:sz w:val="32"/>
          <w:szCs w:val="32"/>
          <w:lang w:val="en-US" w:eastAsia="zh-CN"/>
        </w:rPr>
        <w:t>联通公司域名备案工作。</w:t>
      </w:r>
      <w:r>
        <w:rPr>
          <w:rFonts w:hint="eastAsia" w:ascii="仿宋" w:hAnsi="仿宋" w:eastAsia="仿宋" w:cs="仿宋"/>
          <w:b/>
          <w:bCs/>
          <w:sz w:val="32"/>
          <w:szCs w:val="32"/>
          <w:lang w:val="en-US" w:eastAsia="zh-CN"/>
        </w:rPr>
        <w:t>二是</w:t>
      </w:r>
      <w:r>
        <w:rPr>
          <w:rFonts w:hint="eastAsia" w:ascii="仿宋_GB2312" w:hAnsi="仿宋_GB2312" w:eastAsia="仿宋_GB2312" w:cs="仿宋_GB2312"/>
          <w:color w:val="000000"/>
          <w:sz w:val="32"/>
          <w:szCs w:val="32"/>
          <w:lang w:val="en-US" w:eastAsia="zh-CN"/>
        </w:rPr>
        <w:t>修改</w:t>
      </w:r>
      <w:r>
        <w:rPr>
          <w:rFonts w:hint="eastAsia" w:ascii="仿宋" w:hAnsi="仿宋" w:eastAsia="仿宋" w:cs="仿宋"/>
          <w:sz w:val="32"/>
          <w:szCs w:val="32"/>
          <w:lang w:val="en-US" w:eastAsia="zh-CN"/>
        </w:rPr>
        <w:t>栏目设置，新增《今日头条》《政府公报》栏目，删减原《新农村》《文化瑰宝》栏目。</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做好及信息上传工作，全年上传200余条信息，网站点击率5764次。</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积极参加业务培训活动，参加呼伦贝尔市政府办组织的《全市政府系统蒙古文政务网站运维人员赴自治区翻译中心及巴彦淖尔市学习考察》活动；参加呼伦贝尔市蒙古文网站群运维人员线上培训1期。</w:t>
      </w:r>
      <w:r>
        <w:rPr>
          <w:rFonts w:hint="eastAsia" w:ascii="仿宋" w:hAnsi="仿宋" w:eastAsia="仿宋" w:cs="仿宋"/>
          <w:b/>
          <w:bCs/>
          <w:sz w:val="32"/>
          <w:szCs w:val="32"/>
          <w:lang w:val="en-US" w:eastAsia="zh-CN"/>
        </w:rPr>
        <w:t>五是</w:t>
      </w:r>
      <w:r>
        <w:rPr>
          <w:rFonts w:hint="eastAsia" w:ascii="仿宋" w:hAnsi="仿宋" w:eastAsia="仿宋" w:cs="仿宋"/>
          <w:sz w:val="32"/>
          <w:szCs w:val="32"/>
          <w:lang w:val="en-US" w:eastAsia="zh-CN"/>
        </w:rPr>
        <w:t>做好舆情常态化监测工作，通过人工逐一核查等方式筛查网站有害信息，并报送呼伦贝尔市政府办公室筛查情况共12份。</w:t>
      </w:r>
      <w:r>
        <w:rPr>
          <w:rFonts w:hint="eastAsia" w:ascii="仿宋" w:hAnsi="仿宋" w:eastAsia="仿宋" w:cs="仿宋"/>
          <w:b/>
          <w:bCs/>
          <w:sz w:val="32"/>
          <w:szCs w:val="32"/>
          <w:lang w:val="en-US" w:eastAsia="zh-CN"/>
        </w:rPr>
        <w:t>六是</w:t>
      </w:r>
      <w:r>
        <w:rPr>
          <w:rFonts w:hint="eastAsia" w:ascii="仿宋" w:hAnsi="仿宋" w:eastAsia="仿宋" w:cs="仿宋"/>
          <w:sz w:val="32"/>
          <w:szCs w:val="32"/>
          <w:lang w:val="en-US" w:eastAsia="zh-CN"/>
        </w:rPr>
        <w:t>严格按照自治区翻译中心考核指标，在全区政府系统蒙古文网站群考核平台进行数据采集，完成2021年度考核工作。</w:t>
      </w:r>
    </w:p>
    <w:p>
      <w:pPr>
        <w:pStyle w:val="2"/>
        <w:rPr>
          <w:rFonts w:hint="default"/>
          <w:lang w:val="en-US" w:eastAsia="zh-CN"/>
        </w:rPr>
      </w:pPr>
    </w:p>
    <w:sectPr>
      <w:footerReference r:id="rId3" w:type="default"/>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03403"/>
    <w:multiLevelType w:val="singleLevel"/>
    <w:tmpl w:val="5EE0340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C962A7B"/>
    <w:rsid w:val="00051725"/>
    <w:rsid w:val="00196E58"/>
    <w:rsid w:val="001A28F5"/>
    <w:rsid w:val="002002E7"/>
    <w:rsid w:val="003013B2"/>
    <w:rsid w:val="00301CD1"/>
    <w:rsid w:val="00344DB7"/>
    <w:rsid w:val="003D14AA"/>
    <w:rsid w:val="004219A8"/>
    <w:rsid w:val="00462E22"/>
    <w:rsid w:val="004B5D7D"/>
    <w:rsid w:val="004B6CC2"/>
    <w:rsid w:val="006453A0"/>
    <w:rsid w:val="006762C8"/>
    <w:rsid w:val="007C67B1"/>
    <w:rsid w:val="0087557E"/>
    <w:rsid w:val="008E4D87"/>
    <w:rsid w:val="00A32CC6"/>
    <w:rsid w:val="00B86E16"/>
    <w:rsid w:val="00D25DF9"/>
    <w:rsid w:val="00EB197D"/>
    <w:rsid w:val="00F30D61"/>
    <w:rsid w:val="00F321D6"/>
    <w:rsid w:val="00FE76E4"/>
    <w:rsid w:val="00FF5C22"/>
    <w:rsid w:val="01F623B9"/>
    <w:rsid w:val="020538ED"/>
    <w:rsid w:val="03313BB8"/>
    <w:rsid w:val="07FF005E"/>
    <w:rsid w:val="09F701E6"/>
    <w:rsid w:val="0E1915A5"/>
    <w:rsid w:val="11D040C3"/>
    <w:rsid w:val="16542812"/>
    <w:rsid w:val="17D76A00"/>
    <w:rsid w:val="19212ABD"/>
    <w:rsid w:val="20CE725A"/>
    <w:rsid w:val="231D38F4"/>
    <w:rsid w:val="279C5E68"/>
    <w:rsid w:val="27EB7E42"/>
    <w:rsid w:val="28625F08"/>
    <w:rsid w:val="2B2F13DB"/>
    <w:rsid w:val="2C073ABD"/>
    <w:rsid w:val="2E0214AF"/>
    <w:rsid w:val="2E1A31CA"/>
    <w:rsid w:val="2F920ECD"/>
    <w:rsid w:val="34863E45"/>
    <w:rsid w:val="353E4C7A"/>
    <w:rsid w:val="35912AD9"/>
    <w:rsid w:val="39A63AD2"/>
    <w:rsid w:val="3A32000E"/>
    <w:rsid w:val="3CDB60AA"/>
    <w:rsid w:val="3F5F2504"/>
    <w:rsid w:val="403A2A04"/>
    <w:rsid w:val="414A7C79"/>
    <w:rsid w:val="416961F8"/>
    <w:rsid w:val="4862058D"/>
    <w:rsid w:val="4AE17B83"/>
    <w:rsid w:val="4DF52BD3"/>
    <w:rsid w:val="4F8C543C"/>
    <w:rsid w:val="554F43F5"/>
    <w:rsid w:val="58B210B1"/>
    <w:rsid w:val="5CF76C3A"/>
    <w:rsid w:val="60417762"/>
    <w:rsid w:val="6BDF3567"/>
    <w:rsid w:val="6DF759DF"/>
    <w:rsid w:val="6E19735A"/>
    <w:rsid w:val="6F0A7E1D"/>
    <w:rsid w:val="74FD5320"/>
    <w:rsid w:val="7888332A"/>
    <w:rsid w:val="7A9F4CE9"/>
    <w:rsid w:val="7C950F93"/>
    <w:rsid w:val="7C962A7B"/>
    <w:rsid w:val="7E4911F8"/>
    <w:rsid w:val="7FAB6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Body Text"/>
    <w:basedOn w:val="1"/>
    <w:qFormat/>
    <w:uiPriority w:val="1"/>
    <w:rPr>
      <w:sz w:val="29"/>
      <w:szCs w:val="29"/>
    </w:rPr>
  </w:style>
  <w:style w:type="paragraph" w:styleId="4">
    <w:name w:val="Body Text Indent"/>
    <w:basedOn w:val="1"/>
    <w:qFormat/>
    <w:uiPriority w:val="0"/>
    <w:pPr>
      <w:spacing w:after="120"/>
      <w:ind w:left="420" w:leftChars="200"/>
    </w:pPr>
    <w:rPr>
      <w:rFonts w:ascii="仿宋" w:hAnsi="仿宋" w:eastAsia="仿宋" w:cs="Times New Roman"/>
    </w:rPr>
  </w:style>
  <w:style w:type="paragraph" w:styleId="5">
    <w:name w:val="footer"/>
    <w:basedOn w:val="1"/>
    <w:link w:val="28"/>
    <w:qFormat/>
    <w:uiPriority w:val="0"/>
    <w:pPr>
      <w:tabs>
        <w:tab w:val="center" w:pos="4153"/>
        <w:tab w:val="right" w:pos="8306"/>
      </w:tabs>
      <w:snapToGrid w:val="0"/>
      <w:jc w:val="left"/>
    </w:pPr>
    <w:rPr>
      <w:sz w:val="18"/>
      <w:szCs w:val="18"/>
    </w:rPr>
  </w:style>
  <w:style w:type="paragraph" w:styleId="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qFormat/>
    <w:uiPriority w:val="0"/>
    <w:pPr>
      <w:ind w:firstLine="420"/>
    </w:pPr>
  </w:style>
  <w:style w:type="character" w:styleId="11">
    <w:name w:val="FollowedHyperlink"/>
    <w:basedOn w:val="10"/>
    <w:qFormat/>
    <w:uiPriority w:val="0"/>
    <w:rPr>
      <w:rFonts w:hint="eastAsia" w:ascii="宋体" w:hAnsi="宋体" w:eastAsia="宋体" w:cs="宋体"/>
      <w:color w:val="3D3D3D"/>
      <w:sz w:val="18"/>
      <w:szCs w:val="18"/>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rFonts w:hint="eastAsia" w:ascii="宋体" w:hAnsi="宋体" w:eastAsia="宋体" w:cs="宋体"/>
      <w:color w:val="3D3D3D"/>
      <w:sz w:val="18"/>
      <w:szCs w:val="18"/>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hover22"/>
    <w:basedOn w:val="10"/>
    <w:qFormat/>
    <w:uiPriority w:val="0"/>
    <w:rPr>
      <w:color w:val="000000"/>
      <w:shd w:val="clear" w:color="auto" w:fill="FFFFFF"/>
    </w:rPr>
  </w:style>
  <w:style w:type="character" w:customStyle="1" w:styleId="23">
    <w:name w:val="wx-space"/>
    <w:basedOn w:val="10"/>
    <w:qFormat/>
    <w:uiPriority w:val="0"/>
  </w:style>
  <w:style w:type="character" w:customStyle="1" w:styleId="24">
    <w:name w:val="wx-space1"/>
    <w:basedOn w:val="10"/>
    <w:qFormat/>
    <w:uiPriority w:val="0"/>
  </w:style>
  <w:style w:type="character" w:customStyle="1" w:styleId="25">
    <w:name w:val="bsharetext"/>
    <w:basedOn w:val="10"/>
    <w:qFormat/>
    <w:uiPriority w:val="0"/>
  </w:style>
  <w:style w:type="paragraph" w:customStyle="1" w:styleId="26">
    <w:name w:val="正文首行缩进1"/>
    <w:basedOn w:val="3"/>
    <w:qFormat/>
    <w:uiPriority w:val="0"/>
    <w:pPr>
      <w:ind w:firstLine="420" w:firstLineChars="100"/>
    </w:pPr>
    <w:rPr>
      <w:rFonts w:ascii="Calibri" w:hAnsi="Calibri"/>
    </w:rPr>
  </w:style>
  <w:style w:type="character" w:customStyle="1" w:styleId="27">
    <w:name w:val="页眉 Char"/>
    <w:basedOn w:val="10"/>
    <w:link w:val="6"/>
    <w:qFormat/>
    <w:uiPriority w:val="0"/>
    <w:rPr>
      <w:rFonts w:asciiTheme="minorHAnsi" w:hAnsiTheme="minorHAnsi" w:eastAsiaTheme="minorEastAsia" w:cstheme="minorBidi"/>
      <w:kern w:val="2"/>
      <w:sz w:val="18"/>
      <w:szCs w:val="18"/>
    </w:rPr>
  </w:style>
  <w:style w:type="character" w:customStyle="1" w:styleId="28">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778</Words>
  <Characters>4441</Characters>
  <Lines>37</Lines>
  <Paragraphs>10</Paragraphs>
  <TotalTime>5</TotalTime>
  <ScaleCrop>false</ScaleCrop>
  <LinksUpToDate>false</LinksUpToDate>
  <CharactersWithSpaces>5209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2022-01-17T02:05:00Z</dcterms:created>
  <dc:creator>ZHOUYANG</dc:creator>
  <cp:lastModifiedBy>pl</cp:lastModifiedBy>
  <cp:lastPrinted>2022-01-19T08:27:00Z</cp:lastPrinted>
  <dcterms:modified xsi:type="dcterms:W3CDTF">2022-01-26T04:01:38Z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489F2549CC1141B6B81CFA3F0886222F</vt:lpwstr>
  </property>
</Properties>
</file>