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满洲里市应急管理局</w:t>
      </w:r>
    </w:p>
    <w:p>
      <w:pPr>
        <w:jc w:val="center"/>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b/>
          <w:bCs/>
          <w:sz w:val="36"/>
          <w:szCs w:val="36"/>
          <w:lang w:val="en-US" w:eastAsia="zh-CN"/>
        </w:rPr>
        <w:t>2020年</w:t>
      </w:r>
      <w:r>
        <w:rPr>
          <w:rFonts w:hint="eastAsia" w:asciiTheme="majorEastAsia" w:hAnsiTheme="majorEastAsia" w:eastAsiaTheme="majorEastAsia" w:cstheme="majorEastAsia"/>
          <w:b/>
          <w:bCs/>
          <w:sz w:val="36"/>
          <w:szCs w:val="36"/>
          <w:lang w:eastAsia="zh-CN"/>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宋体" w:hAnsi="宋体" w:eastAsia="宋体" w:cs="宋体"/>
          <w:b/>
          <w:i w:val="0"/>
          <w:caps w:val="0"/>
          <w:color w:val="333333"/>
          <w:spacing w:val="0"/>
          <w:sz w:val="32"/>
          <w:szCs w:val="32"/>
          <w:shd w:val="clear" w:fill="FFFFFF"/>
        </w:rPr>
      </w:pPr>
      <w:r>
        <w:rPr>
          <w:rFonts w:hint="eastAsia" w:ascii="宋体" w:hAnsi="宋体" w:eastAsia="宋体" w:cs="宋体"/>
          <w:b/>
          <w:i w:val="0"/>
          <w:caps w:val="0"/>
          <w:color w:val="333333"/>
          <w:spacing w:val="0"/>
          <w:sz w:val="32"/>
          <w:szCs w:val="32"/>
          <w:shd w:val="clear" w:fill="FFFFFF"/>
          <w:lang w:eastAsia="zh-CN"/>
        </w:rPr>
        <w:t>一、</w:t>
      </w:r>
      <w:r>
        <w:rPr>
          <w:rFonts w:hint="eastAsia" w:ascii="宋体" w:hAnsi="宋体" w:eastAsia="宋体" w:cs="宋体"/>
          <w:b/>
          <w:i w:val="0"/>
          <w:caps w:val="0"/>
          <w:color w:val="333333"/>
          <w:spacing w:val="0"/>
          <w:sz w:val="32"/>
          <w:szCs w:val="32"/>
          <w:shd w:val="clear" w:fill="FFFFFF"/>
        </w:rPr>
        <w:t>总体情况</w:t>
      </w:r>
    </w:p>
    <w:p>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年，我局认真贯彻落实《中华人民共和国政府信息公开条例》和满洲里市政务公开领导小组印发的《</w:t>
      </w:r>
      <w:r>
        <w:rPr>
          <w:rFonts w:hint="eastAsia" w:ascii="仿宋" w:hAnsi="仿宋" w:eastAsia="仿宋" w:cs="仿宋"/>
          <w:sz w:val="32"/>
          <w:szCs w:val="32"/>
          <w:lang w:val="en-US" w:eastAsia="zh-CN"/>
        </w:rPr>
        <w:t>全市2020年政务公开工作要点</w:t>
      </w:r>
      <w:r>
        <w:rPr>
          <w:rFonts w:hint="eastAsia" w:ascii="仿宋" w:hAnsi="仿宋" w:eastAsia="仿宋" w:cs="仿宋"/>
          <w:sz w:val="32"/>
          <w:szCs w:val="32"/>
          <w:lang w:eastAsia="zh-CN"/>
        </w:rPr>
        <w:t>》相关要求，不断完善公开制度，拓宽公开领域，深化公开内容，规范公开流程，努力保障居民群众的知情权、参与权、表达权和监督权。现将情况报告如下：</w:t>
      </w:r>
    </w:p>
    <w:p>
      <w:pPr>
        <w:widowControl w:val="0"/>
        <w:numPr>
          <w:ilvl w:val="0"/>
          <w:numId w:val="0"/>
        </w:numPr>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（一）主动公开政府信息情况</w:t>
      </w:r>
    </w:p>
    <w:p>
      <w:pPr>
        <w:widowControl w:val="0"/>
        <w:numPr>
          <w:ilvl w:val="0"/>
          <w:numId w:val="0"/>
        </w:num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2020年我局充分利用政府网站、新闻媒体、网络媒体等宣传媒介，及时主动向社会公开相关工作动态信息。通过政府信息公开网站和新闻媒体、网络媒体平台累计发布各类政府信息219条。其中：概况类信息4条；财政类信息2条；应急预案类信息9条；建议提案类信息4条；政策解读类信息1条；动态信息199条。我局始终把政务公开作为推进应急管理体系良好发展的一项重要工作抓紧抓好，切实把政务公开工作列入重要议事日程，健全机构，加强领导，为保证政务公开工作有效落实，建立健全我局政务公开工作领导小组，由赵晓杰副局长负责组织和监督局政务公开工作，局办公室具体负责政务公开各项工作的开展。结合政务公开的贯彻落实，建立和完善了主动公开、依申请公开、保密审查等相关工作制度以及信息发布的保密审查和程序，凡未经过分管领导审核批准的信息不得向外发布，从工作程序到岗位责任，做出了明确规定，较好地规范了工作程序和依法行政行为，提高了工作效率。</w:t>
      </w:r>
      <w:bookmarkStart w:id="0" w:name="_GoBack"/>
      <w:bookmarkEnd w:id="0"/>
    </w:p>
    <w:p>
      <w:pPr>
        <w:widowControl w:val="0"/>
        <w:numPr>
          <w:ilvl w:val="0"/>
          <w:numId w:val="0"/>
        </w:numPr>
        <w:ind w:left="640" w:hanging="640" w:hangingChars="200"/>
        <w:jc w:val="left"/>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080000" cy="3545205"/>
            <wp:effectExtent l="4445" t="4445" r="20955" b="698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eastAsia" w:ascii="仿宋" w:hAnsi="仿宋" w:eastAsia="仿宋" w:cs="仿宋"/>
          <w:b/>
          <w:bCs/>
          <w:sz w:val="32"/>
          <w:szCs w:val="32"/>
          <w:lang w:eastAsia="zh-CN"/>
        </w:rPr>
        <w:t>（二）</w:t>
      </w:r>
      <w:r>
        <w:rPr>
          <w:rFonts w:hint="eastAsia" w:ascii="仿宋" w:hAnsi="仿宋" w:eastAsia="仿宋" w:cs="仿宋"/>
          <w:b/>
          <w:bCs/>
          <w:sz w:val="32"/>
          <w:szCs w:val="32"/>
          <w:lang w:val="en-US" w:eastAsia="zh-CN"/>
        </w:rPr>
        <w:t>依申请公开政府信息情况</w:t>
      </w:r>
    </w:p>
    <w:p>
      <w:pPr>
        <w:numPr>
          <w:ilvl w:val="0"/>
          <w:numId w:val="0"/>
        </w:numPr>
        <w:ind w:firstLine="640" w:firstLineChars="200"/>
        <w:jc w:val="both"/>
        <w:rPr>
          <w:rFonts w:hint="eastAsia" w:ascii="仿宋" w:hAnsi="仿宋" w:eastAsia="仿宋" w:cs="仿宋"/>
          <w:b w:val="0"/>
          <w:bCs w:val="0"/>
          <w:color w:val="0000FF"/>
          <w:sz w:val="32"/>
          <w:szCs w:val="32"/>
          <w:lang w:val="en-US" w:eastAsia="zh-CN"/>
        </w:rPr>
      </w:pPr>
      <w:r>
        <w:rPr>
          <w:rFonts w:hint="eastAsia" w:ascii="仿宋" w:hAnsi="仿宋" w:eastAsia="仿宋" w:cs="仿宋"/>
          <w:b w:val="0"/>
          <w:bCs w:val="0"/>
          <w:sz w:val="32"/>
          <w:szCs w:val="32"/>
          <w:lang w:val="en-US" w:eastAsia="zh-CN"/>
        </w:rPr>
        <w:t>2020年我局重新修订了依申请公开工作制度，建立健全依申请公开工作流程，本年度我局未收到依申请公开申请。</w:t>
      </w:r>
    </w:p>
    <w:p>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（三）政府信息管理情况</w:t>
      </w: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2020年，我局严格按照市委、市政府相关工作要求，进一步明确规定向社会主动公开的信息范围、公开属性和公开程序，按时填报政务公开统计报表，确保应公开的信息及时公开。同时，按要求完成本单位基层领域政务公开标准化目录的编制。</w:t>
      </w:r>
    </w:p>
    <w:p>
      <w:pPr>
        <w:numPr>
          <w:ilvl w:val="0"/>
          <w:numId w:val="0"/>
        </w:numPr>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620" w:firstLineChars="20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为切实做好政务公开工作，深化主动公开内容，我局建立健全政府信息公开工作机制，成立政务公开领导小组，落实专人做好政府信息公开各项工作，按公开条例时限要求对应公开信息及时公开、对应当让社会公众广泛知晓或参与的事项，按照规定的程序，做到及时、主动地公开，进一步保障了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643" w:firstLineChars="200"/>
        <w:jc w:val="both"/>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二、主动公开政府信息情况</w:t>
      </w:r>
    </w:p>
    <w:tbl>
      <w:tblPr>
        <w:tblStyle w:val="3"/>
        <w:tblW w:w="8140" w:type="dxa"/>
        <w:jc w:val="center"/>
        <w:shd w:val="clear" w:color="auto" w:fill="auto"/>
        <w:tblLayout w:type="fixed"/>
        <w:tblCellMar>
          <w:top w:w="0" w:type="dxa"/>
          <w:left w:w="0" w:type="dxa"/>
          <w:bottom w:w="0" w:type="dxa"/>
          <w:right w:w="0" w:type="dxa"/>
        </w:tblCellMar>
      </w:tblPr>
      <w:tblGrid>
        <w:gridCol w:w="3113"/>
        <w:gridCol w:w="1875"/>
        <w:gridCol w:w="1271"/>
        <w:gridCol w:w="1881"/>
      </w:tblGrid>
      <w:tr>
        <w:tblPrEx>
          <w:shd w:val="clear" w:color="auto" w:fill="auto"/>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制作数量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增10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10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其他对外管理服务事项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1</w:t>
            </w:r>
          </w:p>
        </w:tc>
        <w:tc>
          <w:tcPr>
            <w:tcW w:w="127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lang w:val="en-US" w:eastAsia="zh-CN"/>
              </w:rPr>
            </w:pPr>
            <w:r>
              <w:rPr>
                <w:rFonts w:hint="eastAsia"/>
                <w:lang w:val="en-US" w:eastAsia="zh-CN"/>
              </w:rPr>
              <w:t>增4</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5</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3152"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政府集中采购</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ascii="宋体"/>
                <w:sz w:val="24"/>
                <w:szCs w:val="24"/>
                <w:lang w:val="en-US" w:eastAsia="zh-CN"/>
              </w:rPr>
              <w:t>4</w:t>
            </w:r>
          </w:p>
        </w:tc>
        <w:tc>
          <w:tcPr>
            <w:tcW w:w="3152"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default" w:ascii="宋体" w:eastAsiaTheme="minorEastAsia"/>
                <w:sz w:val="24"/>
                <w:szCs w:val="24"/>
                <w:lang w:val="en-US" w:eastAsia="zh-CN"/>
              </w:rPr>
            </w:pPr>
            <w:r>
              <w:rPr>
                <w:rFonts w:hint="eastAsia" w:ascii="宋体"/>
                <w:sz w:val="24"/>
                <w:szCs w:val="24"/>
                <w:lang w:val="en-US" w:eastAsia="zh-CN"/>
              </w:rPr>
              <w:t>4339000.00元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right="0" w:firstLine="643" w:firstLineChars="200"/>
        <w:jc w:val="both"/>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lang w:val="en-US" w:eastAsia="zh-CN"/>
              </w:rP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lang w:val="en-US" w:eastAsia="zh-CN"/>
              </w:rP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楷体" w:hAnsi="楷体" w:eastAsia="楷体" w:cs="楷体"/>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（六）其他处理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宋体" w:eastAsiaTheme="minorEastAsia"/>
                <w:sz w:val="24"/>
                <w:szCs w:val="24"/>
                <w:lang w:val="en-US" w:eastAsia="zh-CN"/>
              </w:rPr>
            </w:pPr>
            <w:r>
              <w:rPr>
                <w:rFonts w:hint="eastAsia"/>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五、存在的主要问题及改进情况</w:t>
      </w:r>
    </w:p>
    <w:p>
      <w:pPr>
        <w:widowControl w:val="0"/>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2020年，我局政府信息公开工作有序推进，进一步丰富了公开的内容和载体，取得了一定的成效。但和先进单位相比，还存在一些薄弱环节：</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政务公开工作人员业务水平有待提高，对上级部门文件的要求理解不够，影响了工作的推进；</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形式内容单一，不能运用图片、图表、图解等表现形式进行内容呈现。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针对存在问题和不足，我局将认真贯彻落实上级部门相关要求，加大政府统计信息公开力度，不断提高统计服务实效。</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加强政务公开工作队伍的建设。通过线上学习、线下开展学习讲座、参加培训等方式，切实提高我局政务公开工作队伍的综合素质和业务能力，提升政府信息公开的效率。二</w:t>
      </w:r>
      <w:r>
        <w:rPr>
          <w:rFonts w:hint="eastAsia" w:ascii="仿宋" w:hAnsi="仿宋" w:eastAsia="仿宋" w:cs="仿宋"/>
          <w:b/>
          <w:bCs/>
          <w:sz w:val="32"/>
          <w:szCs w:val="32"/>
          <w:lang w:val="en-US" w:eastAsia="zh-CN"/>
        </w:rPr>
        <w:t>是</w:t>
      </w:r>
      <w:r>
        <w:rPr>
          <w:rFonts w:hint="eastAsia" w:ascii="仿宋" w:hAnsi="仿宋" w:eastAsia="仿宋" w:cs="仿宋"/>
          <w:b w:val="0"/>
          <w:bCs w:val="0"/>
          <w:sz w:val="32"/>
          <w:szCs w:val="32"/>
          <w:lang w:val="en-US" w:eastAsia="zh-CN"/>
        </w:rPr>
        <w:t>不断创新工作方式方法，认真学习先进工作经验，力争以多种形式进行信息公开，加强公开形式的便民性。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六、其他需要报告的事项</w:t>
      </w:r>
    </w:p>
    <w:p>
      <w:pPr>
        <w:widowControl w:val="0"/>
        <w:numPr>
          <w:ilvl w:val="0"/>
          <w:numId w:val="0"/>
        </w:numPr>
        <w:wordWrap/>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我局目前暂无其他需要报告的事项。 </w:t>
      </w:r>
    </w:p>
    <w:p>
      <w:pPr>
        <w:widowControl w:val="0"/>
        <w:numPr>
          <w:ilvl w:val="0"/>
          <w:numId w:val="0"/>
        </w:numPr>
        <w:wordWrap/>
        <w:ind w:firstLine="640"/>
        <w:jc w:val="left"/>
        <w:rPr>
          <w:rFonts w:hint="eastAsia" w:ascii="仿宋" w:hAnsi="仿宋" w:eastAsia="仿宋" w:cs="仿宋"/>
          <w:b w:val="0"/>
          <w:bCs w:val="0"/>
          <w:sz w:val="32"/>
          <w:szCs w:val="32"/>
          <w:lang w:val="en-US" w:eastAsia="zh-CN"/>
        </w:rPr>
      </w:pPr>
    </w:p>
    <w:p>
      <w:pPr>
        <w:widowControl w:val="0"/>
        <w:numPr>
          <w:ilvl w:val="0"/>
          <w:numId w:val="0"/>
        </w:numPr>
        <w:wordWrap/>
        <w:ind w:firstLine="640"/>
        <w:jc w:val="left"/>
        <w:rPr>
          <w:rFonts w:hint="eastAsia" w:ascii="仿宋" w:hAnsi="仿宋" w:eastAsia="仿宋" w:cs="仿宋"/>
          <w:b w:val="0"/>
          <w:bCs w:val="0"/>
          <w:sz w:val="32"/>
          <w:szCs w:val="32"/>
          <w:lang w:val="en-US" w:eastAsia="zh-CN"/>
        </w:rPr>
      </w:pPr>
    </w:p>
    <w:p>
      <w:pPr>
        <w:widowControl w:val="0"/>
        <w:numPr>
          <w:ilvl w:val="0"/>
          <w:numId w:val="0"/>
        </w:numPr>
        <w:wordWrap w:val="0"/>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2021年1月27日        </w:t>
      </w:r>
    </w:p>
    <w:p>
      <w:pPr>
        <w:widowControl w:val="0"/>
        <w:numPr>
          <w:ilvl w:val="0"/>
          <w:numId w:val="0"/>
        </w:numPr>
        <w:wordWrap/>
        <w:ind w:firstLine="640"/>
        <w:jc w:val="right"/>
        <w:rPr>
          <w:rFonts w:hint="eastAsia" w:ascii="仿宋" w:hAnsi="仿宋" w:eastAsia="仿宋" w:cs="仿宋"/>
          <w:b w:val="0"/>
          <w:bCs w:val="0"/>
          <w:sz w:val="32"/>
          <w:szCs w:val="32"/>
          <w:lang w:val="en-US" w:eastAsia="zh-CN"/>
        </w:rPr>
      </w:pPr>
    </w:p>
    <w:p>
      <w:pPr>
        <w:widowControl w:val="0"/>
        <w:numPr>
          <w:ilvl w:val="0"/>
          <w:numId w:val="0"/>
        </w:numPr>
        <w:wordWrap/>
        <w:ind w:firstLine="640"/>
        <w:jc w:val="right"/>
        <w:rPr>
          <w:rFonts w:hint="eastAsia" w:ascii="仿宋" w:hAnsi="仿宋" w:eastAsia="仿宋" w:cs="仿宋"/>
          <w:b w:val="0"/>
          <w:bCs w:val="0"/>
          <w:sz w:val="32"/>
          <w:szCs w:val="32"/>
          <w:lang w:val="en-US" w:eastAsia="zh-CN"/>
        </w:rPr>
      </w:pPr>
    </w:p>
    <w:p>
      <w:pPr>
        <w:widowControl w:val="0"/>
        <w:numPr>
          <w:ilvl w:val="0"/>
          <w:numId w:val="0"/>
        </w:numPr>
        <w:wordWrap/>
        <w:ind w:firstLine="640"/>
        <w:jc w:val="right"/>
        <w:rPr>
          <w:rFonts w:hint="eastAsia" w:ascii="仿宋" w:hAnsi="仿宋" w:eastAsia="仿宋" w:cs="仿宋"/>
          <w:b w:val="0"/>
          <w:bCs w:val="0"/>
          <w:sz w:val="32"/>
          <w:szCs w:val="32"/>
          <w:lang w:val="en-US" w:eastAsia="zh-CN"/>
        </w:rPr>
      </w:pPr>
    </w:p>
    <w:p>
      <w:pPr>
        <w:widowControl w:val="0"/>
        <w:numPr>
          <w:ilvl w:val="0"/>
          <w:numId w:val="0"/>
        </w:numPr>
        <w:wordWrap/>
        <w:ind w:firstLine="640"/>
        <w:jc w:val="right"/>
        <w:rPr>
          <w:rFonts w:hint="eastAsia" w:ascii="仿宋" w:hAnsi="仿宋" w:eastAsia="仿宋" w:cs="仿宋"/>
          <w:b w:val="0"/>
          <w:bCs w:val="0"/>
          <w:sz w:val="32"/>
          <w:szCs w:val="32"/>
          <w:lang w:val="en-US" w:eastAsia="zh-CN"/>
        </w:rPr>
      </w:pPr>
    </w:p>
    <w:p>
      <w:pPr>
        <w:widowControl w:val="0"/>
        <w:numPr>
          <w:ilvl w:val="0"/>
          <w:numId w:val="0"/>
        </w:numPr>
        <w:wordWrap/>
        <w:jc w:val="both"/>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09F0"/>
    <w:rsid w:val="037F5148"/>
    <w:rsid w:val="0E533843"/>
    <w:rsid w:val="11C96F28"/>
    <w:rsid w:val="169000F3"/>
    <w:rsid w:val="19196F6E"/>
    <w:rsid w:val="1B6D0B3C"/>
    <w:rsid w:val="200A26E6"/>
    <w:rsid w:val="2153018C"/>
    <w:rsid w:val="245C4FD8"/>
    <w:rsid w:val="246D4B08"/>
    <w:rsid w:val="25FF4E47"/>
    <w:rsid w:val="271562AE"/>
    <w:rsid w:val="29DB7782"/>
    <w:rsid w:val="2B680409"/>
    <w:rsid w:val="3318203F"/>
    <w:rsid w:val="3367416A"/>
    <w:rsid w:val="359F588D"/>
    <w:rsid w:val="37CE496C"/>
    <w:rsid w:val="394102BF"/>
    <w:rsid w:val="45B42CED"/>
    <w:rsid w:val="465E337B"/>
    <w:rsid w:val="48443B95"/>
    <w:rsid w:val="48E56076"/>
    <w:rsid w:val="4A2F4F8C"/>
    <w:rsid w:val="4DA26575"/>
    <w:rsid w:val="4F607C7A"/>
    <w:rsid w:val="4FAE6105"/>
    <w:rsid w:val="5EAA1DBB"/>
    <w:rsid w:val="5EBB449C"/>
    <w:rsid w:val="60027106"/>
    <w:rsid w:val="645F2C32"/>
    <w:rsid w:val="64B358BB"/>
    <w:rsid w:val="652261CC"/>
    <w:rsid w:val="65C525AD"/>
    <w:rsid w:val="67E43687"/>
    <w:rsid w:val="68F71CD7"/>
    <w:rsid w:val="6A543B22"/>
    <w:rsid w:val="6AE64E6E"/>
    <w:rsid w:val="779F5283"/>
    <w:rsid w:val="77DD3BA5"/>
    <w:rsid w:val="789E61AF"/>
    <w:rsid w:val="7A876B6A"/>
    <w:rsid w:val="7D7503C6"/>
    <w:rsid w:val="7F4C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市应急管理局</a:t>
            </a:r>
            <a:r>
              <a:rPr lang="en-US" altLang="zh-CN"/>
              <a:t>2020</a:t>
            </a:r>
            <a:r>
              <a:rPr altLang="en-US"/>
              <a:t>年度</a:t>
            </a:r>
            <a:r>
              <a:t>信息发布图解</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tx>
            <c:strRef>
              <c:f>Sheet1!$B$1</c:f>
              <c:strCache>
                <c:ptCount val="1"/>
                <c:pt idx="0">
                  <c:v>系列 1</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explosion val="8"/>
            <c:spPr>
              <a:solidFill>
                <a:srgbClr val="966480"/>
              </a:solidFill>
              <a:ln w="31750">
                <a:solidFill>
                  <a:schemeClr val="bg1">
                    <a:alpha val="42000"/>
                  </a:schemeClr>
                </a:solidFill>
              </a:ln>
              <a:effectLst/>
            </c:spPr>
          </c:dPt>
          <c:dPt>
            <c:idx val="2"/>
            <c:bubble3D val="0"/>
            <c:explosion val="20"/>
            <c:spPr>
              <a:solidFill>
                <a:srgbClr val="D06F83"/>
              </a:solidFill>
              <a:ln w="31750">
                <a:solidFill>
                  <a:schemeClr val="bg1">
                    <a:alpha val="42000"/>
                  </a:schemeClr>
                </a:solidFill>
              </a:ln>
              <a:effectLst/>
            </c:spPr>
          </c:dPt>
          <c:dPt>
            <c:idx val="3"/>
            <c:bubble3D val="0"/>
            <c:explosion val="32"/>
            <c:spPr>
              <a:solidFill>
                <a:srgbClr val="DD5F71"/>
              </a:solidFill>
              <a:ln w="31750">
                <a:solidFill>
                  <a:schemeClr val="bg1">
                    <a:alpha val="42000"/>
                  </a:schemeClr>
                </a:solidFill>
              </a:ln>
              <a:effectLst/>
            </c:spPr>
          </c:dPt>
          <c:dPt>
            <c:idx val="4"/>
            <c:bubble3D val="0"/>
            <c:explosion val="46"/>
            <c:spPr>
              <a:solidFill>
                <a:srgbClr val="F68B6B"/>
              </a:solidFill>
              <a:ln w="31750">
                <a:solidFill>
                  <a:schemeClr val="bg1">
                    <a:alpha val="42000"/>
                  </a:schemeClr>
                </a:solidFill>
              </a:ln>
              <a:effectLst/>
            </c:spPr>
          </c:dPt>
          <c:dPt>
            <c:idx val="5"/>
            <c:bubble3D val="0"/>
            <c:explosion val="10"/>
            <c:spPr>
              <a:solidFill>
                <a:srgbClr val="859949"/>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cap="none" spc="0" normalizeH="0" baseline="0">
                    <a:solidFill>
                      <a:schemeClr val="tx1"/>
                    </a:solidFill>
                    <a:uFill>
                      <a:solidFill>
                        <a:schemeClr val="bg1"/>
                      </a:solidFill>
                    </a:uFill>
                    <a:latin typeface="黑体" panose="02010609060101010101" charset="-122"/>
                    <a:ea typeface="黑体" panose="02010609060101010101"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概况类信息</c:v>
                </c:pt>
                <c:pt idx="1">
                  <c:v>财政类信息</c:v>
                </c:pt>
                <c:pt idx="2">
                  <c:v>应急预案类信息</c:v>
                </c:pt>
                <c:pt idx="3">
                  <c:v>建议提案类信息</c:v>
                </c:pt>
                <c:pt idx="4">
                  <c:v>政策解读类信息</c:v>
                </c:pt>
                <c:pt idx="5">
                  <c:v>动态信息</c:v>
                </c:pt>
              </c:strCache>
            </c:strRef>
          </c:cat>
          <c:val>
            <c:numRef>
              <c:f>Sheet1!$B$2:$B$7</c:f>
              <c:numCache>
                <c:formatCode>General</c:formatCode>
                <c:ptCount val="6"/>
                <c:pt idx="0">
                  <c:v>4</c:v>
                </c:pt>
                <c:pt idx="1">
                  <c:v>2</c:v>
                </c:pt>
                <c:pt idx="2">
                  <c:v>9</c:v>
                </c:pt>
                <c:pt idx="3">
                  <c:v>4</c:v>
                </c:pt>
                <c:pt idx="4">
                  <c:v>1</c:v>
                </c:pt>
                <c:pt idx="5">
                  <c:v>199</c:v>
                </c:pt>
              </c:numCache>
            </c:numRef>
          </c:val>
        </c:ser>
        <c:ser>
          <c:idx val="1"/>
          <c:order val="1"/>
          <c:tx>
            <c:strRef>
              <c:f>Sheet1!$C$1</c:f>
              <c:strCache>
                <c:ptCount val="1"/>
                <c:pt idx="0">
                  <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Pt>
            <c:idx val="3"/>
            <c:bubble3D val="0"/>
            <c:spPr>
              <a:solidFill>
                <a:srgbClr val="DD5F71"/>
              </a:solidFill>
              <a:ln w="31750">
                <a:solidFill>
                  <a:schemeClr val="bg1">
                    <a:alpha val="42000"/>
                  </a:schemeClr>
                </a:solidFill>
              </a:ln>
              <a:effectLst/>
            </c:spPr>
          </c:dPt>
          <c:dPt>
            <c:idx val="4"/>
            <c:bubble3D val="0"/>
            <c:spPr>
              <a:solidFill>
                <a:srgbClr val="F68B6B"/>
              </a:solidFill>
              <a:ln w="31750">
                <a:solidFill>
                  <a:schemeClr val="bg1">
                    <a:alpha val="42000"/>
                  </a:schemeClr>
                </a:solidFill>
              </a:ln>
              <a:effectLst/>
            </c:spPr>
          </c:dPt>
          <c:dPt>
            <c:idx val="5"/>
            <c:bubble3D val="0"/>
            <c:spPr>
              <a:solidFill>
                <a:srgbClr val="859949"/>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概况类信息</c:v>
                </c:pt>
                <c:pt idx="1">
                  <c:v>财政类信息</c:v>
                </c:pt>
                <c:pt idx="2">
                  <c:v>应急预案类信息</c:v>
                </c:pt>
                <c:pt idx="3">
                  <c:v>建议提案类信息</c:v>
                </c:pt>
                <c:pt idx="4">
                  <c:v>政策解读类信息</c:v>
                </c:pt>
                <c:pt idx="5">
                  <c:v>动态信息</c:v>
                </c:pt>
              </c:strCache>
            </c:strRef>
          </c:cat>
          <c:val>
            <c:numRef>
              <c:f>Sheet1!$C$2:$C$7</c:f>
              <c:numCache>
                <c:formatCode>General</c:formatCode>
                <c:ptCount val="6"/>
              </c:numCache>
            </c:numRef>
          </c:val>
        </c:ser>
        <c:ser>
          <c:idx val="2"/>
          <c:order val="2"/>
          <c:tx>
            <c:strRef>
              <c:f>Sheet1!$D$1</c:f>
              <c:strCache>
                <c:ptCount val="1"/>
                <c:pt idx="0">
                  <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Pt>
            <c:idx val="3"/>
            <c:bubble3D val="0"/>
            <c:spPr>
              <a:solidFill>
                <a:srgbClr val="DD5F71"/>
              </a:solidFill>
              <a:ln w="31750">
                <a:solidFill>
                  <a:schemeClr val="bg1">
                    <a:alpha val="42000"/>
                  </a:schemeClr>
                </a:solidFill>
              </a:ln>
              <a:effectLst/>
            </c:spPr>
          </c:dPt>
          <c:dPt>
            <c:idx val="4"/>
            <c:bubble3D val="0"/>
            <c:spPr>
              <a:solidFill>
                <a:srgbClr val="F68B6B"/>
              </a:solidFill>
              <a:ln w="31750">
                <a:solidFill>
                  <a:schemeClr val="bg1">
                    <a:alpha val="42000"/>
                  </a:schemeClr>
                </a:solidFill>
              </a:ln>
              <a:effectLst/>
            </c:spPr>
          </c:dPt>
          <c:dPt>
            <c:idx val="5"/>
            <c:bubble3D val="0"/>
            <c:spPr>
              <a:solidFill>
                <a:srgbClr val="859949"/>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概况类信息</c:v>
                </c:pt>
                <c:pt idx="1">
                  <c:v>财政类信息</c:v>
                </c:pt>
                <c:pt idx="2">
                  <c:v>应急预案类信息</c:v>
                </c:pt>
                <c:pt idx="3">
                  <c:v>建议提案类信息</c:v>
                </c:pt>
                <c:pt idx="4">
                  <c:v>政策解读类信息</c:v>
                </c:pt>
                <c:pt idx="5">
                  <c:v>动态信息</c:v>
                </c:pt>
              </c:strCache>
            </c:strRef>
          </c:cat>
          <c:val>
            <c:numRef>
              <c:f>Sheet1!$D$2:$D$7</c:f>
              <c:numCache>
                <c:formatCode>General</c:formatCode>
                <c:ptCount val="6"/>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CCTV中学生频道●满洲里站</cp:lastModifiedBy>
  <cp:lastPrinted>2020-02-27T07:19:00Z</cp:lastPrinted>
  <dcterms:modified xsi:type="dcterms:W3CDTF">2021-01-28T03:29:16Z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