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10" w:beforeAutospacing="0" w:after="210" w:afterAutospacing="0" w:line="23" w:lineRule="atLeast"/>
        <w:jc w:val="center"/>
        <w:rPr>
          <w:b/>
          <w:bCs/>
          <w:sz w:val="36"/>
          <w:szCs w:val="36"/>
        </w:rPr>
      </w:pPr>
      <w:r>
        <w:rPr>
          <w:rFonts w:hint="eastAsia"/>
          <w:b/>
          <w:bCs/>
          <w:sz w:val="36"/>
          <w:szCs w:val="36"/>
        </w:rPr>
        <w:t>满洲里市住建局2020年度政府信息公开年度报告</w:t>
      </w:r>
    </w:p>
    <w:p>
      <w:pPr>
        <w:pStyle w:val="2"/>
        <w:keepNext w:val="0"/>
        <w:keepLines w:val="0"/>
        <w:widowControl/>
        <w:suppressLineNumbers w:val="0"/>
        <w:spacing w:before="210" w:beforeAutospacing="0" w:after="210" w:afterAutospacing="0" w:line="23" w:lineRule="atLeast"/>
      </w:pPr>
    </w:p>
    <w:p>
      <w:pPr>
        <w:pStyle w:val="2"/>
        <w:keepNext w:val="0"/>
        <w:keepLines w:val="0"/>
        <w:widowControl/>
        <w:suppressLineNumbers w:val="0"/>
        <w:spacing w:before="210" w:beforeAutospacing="0" w:after="210" w:afterAutospacing="0" w:line="23"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为贯彻落实《中华人民共和国政府信息公开条例》，市住建局在市委、市政府的正确领导下，在市政务公开领导小组的指导下，按照《满洲里市政府信息公开办法》全面推进我市住建系统政务公开工作，强化社会监督、完善工作机制、推进行政权力运行全程公开。</w:t>
      </w:r>
    </w:p>
    <w:p>
      <w:pPr>
        <w:pStyle w:val="2"/>
        <w:keepNext w:val="0"/>
        <w:keepLines w:val="0"/>
        <w:widowControl/>
        <w:suppressLineNumbers w:val="0"/>
        <w:spacing w:before="210" w:beforeAutospacing="0" w:after="210" w:afterAutospacing="0" w:line="23" w:lineRule="atLeast"/>
        <w:jc w:val="both"/>
        <w:rPr>
          <w:rFonts w:hint="eastAsia" w:ascii="黑体" w:hAnsi="黑体" w:eastAsia="黑体" w:cs="黑体"/>
          <w:kern w:val="0"/>
          <w:sz w:val="32"/>
          <w:szCs w:val="32"/>
          <w:lang w:val="en-US" w:eastAsia="zh-CN" w:bidi="ar-SA"/>
        </w:rPr>
      </w:pPr>
      <w:r>
        <w:rPr>
          <w:rFonts w:hint="eastAsia" w:ascii="仿宋" w:hAnsi="仿宋" w:eastAsia="仿宋" w:cs="仿宋"/>
          <w:sz w:val="32"/>
          <w:szCs w:val="32"/>
        </w:rPr>
        <w:t>　</w:t>
      </w:r>
      <w:r>
        <w:rPr>
          <w:rFonts w:hint="eastAsia" w:ascii="仿宋" w:hAnsi="仿宋" w:eastAsia="仿宋" w:cs="仿宋"/>
          <w:b/>
          <w:bCs/>
          <w:sz w:val="32"/>
          <w:szCs w:val="32"/>
        </w:rPr>
        <w:t>　</w:t>
      </w:r>
      <w:r>
        <w:rPr>
          <w:rFonts w:hint="eastAsia" w:ascii="黑体" w:hAnsi="黑体" w:eastAsia="黑体" w:cs="黑体"/>
          <w:kern w:val="0"/>
          <w:sz w:val="32"/>
          <w:szCs w:val="32"/>
          <w:lang w:val="en-US" w:eastAsia="zh-CN" w:bidi="ar-SA"/>
        </w:rPr>
        <w:t>一、总体情况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0"/>
          <w:sz w:val="32"/>
          <w:szCs w:val="32"/>
          <w:lang w:val="en-US" w:eastAsia="zh-CN" w:bidi="ar"/>
        </w:rPr>
        <w:t>（一）主动公开及总体情</w:t>
      </w:r>
      <w:r>
        <w:rPr>
          <w:rFonts w:hint="eastAsia" w:ascii="仿宋" w:hAnsi="仿宋" w:eastAsia="仿宋" w:cs="仿宋"/>
          <w:b/>
          <w:bCs/>
          <w:color w:val="000000"/>
          <w:kern w:val="0"/>
          <w:sz w:val="32"/>
          <w:szCs w:val="32"/>
          <w:lang w:val="en-US" w:eastAsia="zh-CN" w:bidi="ar"/>
        </w:rPr>
        <w:t xml:space="preserve">况 </w:t>
      </w:r>
    </w:p>
    <w:p>
      <w:pPr>
        <w:pStyle w:val="2"/>
        <w:keepNext w:val="0"/>
        <w:keepLines w:val="0"/>
        <w:widowControl/>
        <w:suppressLineNumbers w:val="0"/>
        <w:spacing w:before="210" w:beforeAutospacing="0" w:after="210" w:afterAutospacing="0" w:line="23"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1.公开公示信息情况。一是发布《满洲里市住建局2019年度政府信息公开年度报告》；二是发布涉及重要民生事项、日常信息等89条。三是公示了31份人大代表建议及17份政协委员提案答复信息。</w:t>
      </w:r>
    </w:p>
    <w:p>
      <w:pPr>
        <w:pStyle w:val="2"/>
        <w:keepNext w:val="0"/>
        <w:keepLines w:val="0"/>
        <w:widowControl/>
        <w:suppressLineNumbers w:val="0"/>
        <w:spacing w:before="210" w:beforeAutospacing="0" w:after="210" w:afterAutospacing="0" w:line="23" w:lineRule="atLeast"/>
        <w:jc w:val="both"/>
        <w:rPr>
          <w:rFonts w:hint="eastAsia" w:ascii="仿宋" w:hAnsi="仿宋" w:eastAsia="仿宋" w:cs="仿宋"/>
          <w:sz w:val="32"/>
          <w:szCs w:val="32"/>
        </w:rPr>
      </w:pPr>
      <w:r>
        <w:rPr>
          <w:rFonts w:hint="eastAsia" w:ascii="仿宋" w:hAnsi="仿宋" w:eastAsia="仿宋" w:cs="仿宋"/>
          <w:sz w:val="32"/>
          <w:szCs w:val="32"/>
        </w:rPr>
        <w:t>　　2.2020年重新编制《满洲里市住建局信息公开指南》《满洲里市住建局职能配置、内设机构和人员编制规定》《住建局党政领导班子成员分工》。</w:t>
      </w:r>
    </w:p>
    <w:p>
      <w:pPr>
        <w:pStyle w:val="2"/>
        <w:keepNext w:val="0"/>
        <w:keepLines w:val="0"/>
        <w:widowControl/>
        <w:suppressLineNumbers w:val="0"/>
        <w:spacing w:before="210" w:beforeAutospacing="0" w:after="210" w:afterAutospacing="0" w:line="23" w:lineRule="atLeast"/>
        <w:jc w:val="both"/>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（二）依申请公开政府信息的开展情况</w:t>
      </w:r>
    </w:p>
    <w:p>
      <w:pPr>
        <w:pStyle w:val="2"/>
        <w:keepNext w:val="0"/>
        <w:keepLines w:val="0"/>
        <w:widowControl/>
        <w:suppressLineNumbers w:val="0"/>
        <w:spacing w:before="210" w:beforeAutospacing="0" w:after="210" w:afterAutospacing="0" w:line="23" w:lineRule="atLeast"/>
        <w:ind w:firstLine="480"/>
        <w:jc w:val="both"/>
        <w:rPr>
          <w:rFonts w:hint="eastAsia" w:ascii="仿宋" w:hAnsi="仿宋" w:eastAsia="仿宋" w:cs="仿宋"/>
          <w:sz w:val="32"/>
          <w:szCs w:val="32"/>
        </w:rPr>
      </w:pPr>
      <w:r>
        <w:rPr>
          <w:rFonts w:hint="eastAsia" w:ascii="仿宋" w:hAnsi="仿宋" w:eastAsia="仿宋" w:cs="仿宋"/>
          <w:sz w:val="32"/>
          <w:szCs w:val="32"/>
        </w:rPr>
        <w:t>2020年满洲里住建局未收到依申请公开政府信息情况。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 xml:space="preserve">（三）政府信息管理情况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严格执行政府信息公开的法律法规，对所公开事项内容进行审核、把关，确保公开内容的合法性、准确性、严肃性。确保公开的范围、形式、时限、程序等符合《中华人民共和国政府信息公开条例》的相关要求。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 xml:space="preserve">（四）平台建设情况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主要依托于满洲里市人民政府门户网站进行全文电子化公开。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 xml:space="preserve">（五）监督保障情况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为切实做好政务公开工作，深化主动公开内容，市住建局成立政务公开领导小组，落实专人做好政府信息公开各项工作，按公开条例时限要求及时对信息公开、对应当让社会公众广泛知晓或参与的事项，按照规定的程序，做到及时、主动地公开，进一步保障了政府信息公开工作落到实处。 </w:t>
      </w:r>
    </w:p>
    <w:p>
      <w:pPr>
        <w:pStyle w:val="2"/>
        <w:keepNext w:val="0"/>
        <w:keepLines w:val="0"/>
        <w:widowControl/>
        <w:suppressLineNumbers w:val="0"/>
        <w:spacing w:before="210" w:beforeAutospacing="0" w:after="210" w:afterAutospacing="0" w:line="23" w:lineRule="atLeast"/>
        <w:ind w:firstLine="643" w:firstLineChars="200"/>
        <w:jc w:val="both"/>
        <w:rPr>
          <w:rFonts w:hint="eastAsia" w:ascii="仿宋" w:hAnsi="仿宋" w:eastAsia="仿宋" w:cs="仿宋"/>
          <w:sz w:val="32"/>
          <w:szCs w:val="32"/>
        </w:rPr>
      </w:pPr>
      <w:r>
        <w:rPr>
          <w:rStyle w:val="5"/>
          <w:rFonts w:hint="eastAsia" w:ascii="仿宋" w:hAnsi="仿宋" w:eastAsia="仿宋" w:cs="仿宋"/>
          <w:sz w:val="32"/>
          <w:szCs w:val="32"/>
        </w:rPr>
        <w:t>（六）推动做好政务公开工作主要举措</w:t>
      </w:r>
    </w:p>
    <w:p>
      <w:pPr>
        <w:pStyle w:val="2"/>
        <w:keepNext w:val="0"/>
        <w:keepLines w:val="0"/>
        <w:widowControl/>
        <w:suppressLineNumbers w:val="0"/>
        <w:spacing w:before="210" w:beforeAutospacing="0" w:after="210" w:afterAutospacing="0" w:line="23" w:lineRule="atLeast"/>
        <w:jc w:val="both"/>
        <w:rPr>
          <w:rFonts w:hint="eastAsia" w:ascii="仿宋" w:hAnsi="仿宋" w:eastAsia="仿宋" w:cs="仿宋"/>
          <w:sz w:val="32"/>
          <w:szCs w:val="32"/>
        </w:rPr>
      </w:pPr>
      <w:r>
        <w:rPr>
          <w:rFonts w:hint="eastAsia" w:ascii="仿宋" w:hAnsi="仿宋" w:eastAsia="仿宋" w:cs="仿宋"/>
          <w:sz w:val="32"/>
          <w:szCs w:val="32"/>
        </w:rPr>
        <w:t>　　不定期召开局务会研究布置政务公开工作，听取具体承办业务部门工作汇报。研究通过《满洲里市住建局政务公开标准化目录》。</w:t>
      </w:r>
    </w:p>
    <w:p>
      <w:pPr>
        <w:pStyle w:val="2"/>
        <w:keepNext w:val="0"/>
        <w:keepLines w:val="0"/>
        <w:widowControl/>
        <w:suppressLineNumbers w:val="0"/>
        <w:spacing w:before="210" w:beforeAutospacing="0" w:after="210" w:afterAutospacing="0" w:line="23" w:lineRule="atLeast"/>
        <w:jc w:val="both"/>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（七）关于受理关于政府信息公开咨询、投诉情况及处理结果</w:t>
      </w:r>
    </w:p>
    <w:p>
      <w:pPr>
        <w:pStyle w:val="2"/>
        <w:keepNext w:val="0"/>
        <w:keepLines w:val="0"/>
        <w:widowControl/>
        <w:suppressLineNumbers w:val="0"/>
        <w:spacing w:before="210" w:beforeAutospacing="0" w:after="210" w:afterAutospacing="0" w:line="23" w:lineRule="atLeast"/>
        <w:jc w:val="both"/>
        <w:rPr>
          <w:rFonts w:hint="eastAsia" w:ascii="仿宋" w:hAnsi="仿宋" w:eastAsia="仿宋" w:cs="仿宋"/>
          <w:sz w:val="32"/>
          <w:szCs w:val="32"/>
        </w:rPr>
      </w:pPr>
      <w:r>
        <w:rPr>
          <w:rFonts w:hint="eastAsia" w:ascii="仿宋" w:hAnsi="仿宋" w:eastAsia="仿宋" w:cs="仿宋"/>
          <w:sz w:val="32"/>
          <w:szCs w:val="32"/>
        </w:rPr>
        <w:t>　　2020年，满洲里市住建局答复市长信箱事项156件。</w:t>
      </w:r>
    </w:p>
    <w:p>
      <w:pPr>
        <w:pStyle w:val="2"/>
        <w:keepNext w:val="0"/>
        <w:keepLines w:val="0"/>
        <w:widowControl/>
        <w:numPr>
          <w:ilvl w:val="0"/>
          <w:numId w:val="1"/>
        </w:numPr>
        <w:suppressLineNumbers w:val="0"/>
        <w:spacing w:before="210" w:beforeAutospacing="0" w:after="210" w:afterAutospacing="0" w:line="23" w:lineRule="atLeast"/>
        <w:ind w:left="640" w:leftChars="0" w:firstLine="0" w:firstLineChars="0"/>
        <w:jc w:val="both"/>
        <w:rPr>
          <w:rStyle w:val="5"/>
          <w:rFonts w:hint="eastAsia" w:ascii="仿宋" w:hAnsi="仿宋" w:eastAsia="仿宋" w:cs="仿宋"/>
          <w:sz w:val="32"/>
          <w:szCs w:val="32"/>
        </w:rPr>
      </w:pPr>
      <w:r>
        <w:rPr>
          <w:rStyle w:val="5"/>
          <w:rFonts w:hint="eastAsia" w:ascii="仿宋" w:hAnsi="仿宋" w:eastAsia="仿宋" w:cs="仿宋"/>
          <w:sz w:val="32"/>
          <w:szCs w:val="32"/>
        </w:rPr>
        <w:t>因政府信息公开申请行政复议、提起行政诉讼情况</w:t>
      </w:r>
    </w:p>
    <w:p>
      <w:pPr>
        <w:pStyle w:val="2"/>
        <w:keepNext w:val="0"/>
        <w:keepLines w:val="0"/>
        <w:widowControl/>
        <w:numPr>
          <w:ilvl w:val="0"/>
          <w:numId w:val="0"/>
        </w:numPr>
        <w:suppressLineNumbers w:val="0"/>
        <w:spacing w:before="210" w:beforeAutospacing="0" w:after="210" w:afterAutospacing="0" w:line="23" w:lineRule="atLeast"/>
        <w:ind w:right="0" w:righ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2020年满洲里市住建局未发生因政府信息公开引起的行政复议及行政诉讼。</w:t>
      </w:r>
    </w:p>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kern w:val="0"/>
          <w:sz w:val="32"/>
          <w:szCs w:val="32"/>
        </w:rPr>
      </w:pPr>
      <w:r>
        <w:t>　　</w:t>
      </w:r>
      <w:r>
        <w:rPr>
          <w:rFonts w:hint="eastAsia" w:ascii="黑体" w:hAnsi="黑体" w:eastAsia="黑体" w:cs="黑体"/>
          <w:kern w:val="0"/>
          <w:sz w:val="32"/>
          <w:szCs w:val="32"/>
        </w:rPr>
        <w:t>二、主动公开政府信息情况</w:t>
      </w:r>
    </w:p>
    <w:tbl>
      <w:tblPr>
        <w:tblStyle w:val="3"/>
        <w:tblW w:w="8820" w:type="dxa"/>
        <w:jc w:val="center"/>
        <w:tblLayout w:type="fixed"/>
        <w:tblCellMar>
          <w:top w:w="0" w:type="dxa"/>
          <w:left w:w="108" w:type="dxa"/>
          <w:bottom w:w="0" w:type="dxa"/>
          <w:right w:w="108" w:type="dxa"/>
        </w:tblCellMar>
      </w:tblPr>
      <w:tblGrid>
        <w:gridCol w:w="3371"/>
        <w:gridCol w:w="2029"/>
        <w:gridCol w:w="7"/>
        <w:gridCol w:w="1368"/>
        <w:gridCol w:w="2045"/>
      </w:tblGrid>
      <w:tr>
        <w:tblPrEx>
          <w:tblCellMar>
            <w:top w:w="0" w:type="dxa"/>
            <w:left w:w="108" w:type="dxa"/>
            <w:bottom w:w="0" w:type="dxa"/>
            <w:right w:w="108" w:type="dxa"/>
          </w:tblCellMar>
        </w:tblPrEx>
        <w:trPr>
          <w:trHeight w:val="610" w:hRule="atLeast"/>
          <w:jc w:val="center"/>
        </w:trPr>
        <w:tc>
          <w:tcPr>
            <w:tcW w:w="882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第二十条第（一）项</w:t>
            </w:r>
          </w:p>
        </w:tc>
      </w:tr>
      <w:tr>
        <w:tblPrEx>
          <w:tblCellMar>
            <w:top w:w="0" w:type="dxa"/>
            <w:left w:w="108" w:type="dxa"/>
            <w:bottom w:w="0" w:type="dxa"/>
            <w:right w:w="108" w:type="dxa"/>
          </w:tblCellMar>
        </w:tblPrEx>
        <w:trPr>
          <w:trHeight w:val="1209"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信息内容</w:t>
            </w:r>
          </w:p>
        </w:tc>
        <w:tc>
          <w:tcPr>
            <w:tcW w:w="20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本年新</w:t>
            </w:r>
            <w:r>
              <w:rPr>
                <w:rFonts w:ascii="宋体" w:cs="Times New Roman"/>
                <w:color w:val="000000"/>
                <w:kern w:val="0"/>
                <w:sz w:val="20"/>
                <w:szCs w:val="20"/>
              </w:rPr>
              <w:br w:type="textWrapping"/>
            </w:r>
            <w:r>
              <w:rPr>
                <w:rFonts w:hint="eastAsia" w:ascii="宋体" w:hAnsi="宋体" w:cs="宋体"/>
                <w:kern w:val="0"/>
                <w:sz w:val="20"/>
                <w:szCs w:val="20"/>
              </w:rPr>
              <w:t>制作数量</w:t>
            </w:r>
          </w:p>
        </w:tc>
        <w:tc>
          <w:tcPr>
            <w:tcW w:w="137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本年新</w:t>
            </w:r>
            <w:r>
              <w:rPr>
                <w:rFonts w:ascii="宋体" w:cs="Times New Roman"/>
                <w:color w:val="000000"/>
                <w:kern w:val="0"/>
                <w:sz w:val="20"/>
                <w:szCs w:val="20"/>
              </w:rPr>
              <w:br w:type="textWrapping"/>
            </w:r>
            <w:r>
              <w:rPr>
                <w:rFonts w:hint="eastAsia" w:ascii="宋体" w:hAnsi="宋体" w:cs="宋体"/>
                <w:kern w:val="0"/>
                <w:sz w:val="20"/>
                <w:szCs w:val="20"/>
              </w:rPr>
              <w:t>公开数量</w:t>
            </w:r>
          </w:p>
        </w:tc>
        <w:tc>
          <w:tcPr>
            <w:tcW w:w="20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对外公开总数量</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ascii="宋体" w:cs="Times New Roman"/>
                <w:kern w:val="0"/>
                <w:sz w:val="24"/>
                <w:szCs w:val="24"/>
              </w:rPr>
            </w:pPr>
            <w:r>
              <w:rPr>
                <w:rFonts w:hint="eastAsia" w:ascii="宋体" w:hAnsi="宋体" w:cs="宋体"/>
                <w:color w:val="000000"/>
                <w:kern w:val="0"/>
                <w:sz w:val="20"/>
                <w:szCs w:val="20"/>
              </w:rPr>
              <w:t>规章</w:t>
            </w:r>
          </w:p>
        </w:tc>
        <w:tc>
          <w:tcPr>
            <w:tcW w:w="20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c>
          <w:tcPr>
            <w:tcW w:w="137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cs="Times New Roman"/>
                <w:color w:val="000000"/>
                <w:kern w:val="0"/>
                <w:sz w:val="20"/>
                <w:szCs w:val="20"/>
                <w:lang w:val="en-US" w:eastAsia="zh-CN"/>
              </w:rPr>
              <w:t>0</w:t>
            </w:r>
          </w:p>
        </w:tc>
        <w:tc>
          <w:tcPr>
            <w:tcW w:w="20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ascii="宋体" w:cs="Times New Roman"/>
                <w:kern w:val="0"/>
                <w:sz w:val="24"/>
                <w:szCs w:val="24"/>
              </w:rPr>
            </w:pPr>
            <w:r>
              <w:rPr>
                <w:rFonts w:hint="eastAsia" w:ascii="宋体" w:hAnsi="宋体" w:cs="宋体"/>
                <w:color w:val="000000"/>
                <w:kern w:val="0"/>
                <w:sz w:val="20"/>
                <w:szCs w:val="20"/>
              </w:rPr>
              <w:t>规范性文件</w:t>
            </w:r>
          </w:p>
        </w:tc>
        <w:tc>
          <w:tcPr>
            <w:tcW w:w="20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c>
          <w:tcPr>
            <w:tcW w:w="137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cs="Times New Roman"/>
                <w:color w:val="000000"/>
                <w:kern w:val="0"/>
                <w:sz w:val="20"/>
                <w:szCs w:val="20"/>
                <w:lang w:val="en-US" w:eastAsia="zh-CN"/>
              </w:rPr>
              <w:t>0</w:t>
            </w:r>
          </w:p>
        </w:tc>
        <w:tc>
          <w:tcPr>
            <w:tcW w:w="20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r>
      <w:tr>
        <w:tblPrEx>
          <w:tblCellMar>
            <w:top w:w="0" w:type="dxa"/>
            <w:left w:w="108" w:type="dxa"/>
            <w:bottom w:w="0" w:type="dxa"/>
            <w:right w:w="108" w:type="dxa"/>
          </w:tblCellMar>
        </w:tblPrEx>
        <w:trPr>
          <w:trHeight w:val="610" w:hRule="atLeast"/>
          <w:jc w:val="center"/>
        </w:trPr>
        <w:tc>
          <w:tcPr>
            <w:tcW w:w="882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第二十条第（五）项</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信息内容</w:t>
            </w:r>
          </w:p>
        </w:tc>
        <w:tc>
          <w:tcPr>
            <w:tcW w:w="20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上一年项目数量</w:t>
            </w:r>
          </w:p>
        </w:tc>
        <w:tc>
          <w:tcPr>
            <w:tcW w:w="137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c>
          <w:tcPr>
            <w:tcW w:w="20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处理决定数量</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ascii="宋体" w:cs="Times New Roman"/>
                <w:kern w:val="0"/>
                <w:sz w:val="24"/>
                <w:szCs w:val="24"/>
              </w:rPr>
            </w:pPr>
            <w:r>
              <w:rPr>
                <w:rFonts w:hint="eastAsia" w:ascii="宋体" w:hAnsi="宋体" w:cs="宋体"/>
                <w:color w:val="000000"/>
                <w:kern w:val="0"/>
                <w:sz w:val="20"/>
                <w:szCs w:val="20"/>
              </w:rPr>
              <w:t>行政许可</w:t>
            </w:r>
          </w:p>
        </w:tc>
        <w:tc>
          <w:tcPr>
            <w:tcW w:w="20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c>
          <w:tcPr>
            <w:tcW w:w="137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c>
          <w:tcPr>
            <w:tcW w:w="20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ascii="宋体" w:cs="Times New Roman"/>
                <w:kern w:val="0"/>
                <w:sz w:val="24"/>
                <w:szCs w:val="24"/>
              </w:rPr>
            </w:pPr>
            <w:r>
              <w:rPr>
                <w:rFonts w:hint="eastAsia" w:ascii="宋体" w:hAnsi="宋体" w:cs="宋体"/>
                <w:color w:val="000000"/>
                <w:kern w:val="0"/>
                <w:sz w:val="20"/>
                <w:szCs w:val="20"/>
              </w:rPr>
              <w:t>其他对外管理服务事项</w:t>
            </w:r>
          </w:p>
        </w:tc>
        <w:tc>
          <w:tcPr>
            <w:tcW w:w="20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c>
          <w:tcPr>
            <w:tcW w:w="1375"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c>
          <w:tcPr>
            <w:tcW w:w="20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r>
      <w:tr>
        <w:tblPrEx>
          <w:tblCellMar>
            <w:top w:w="0" w:type="dxa"/>
            <w:left w:w="108" w:type="dxa"/>
            <w:bottom w:w="0" w:type="dxa"/>
            <w:right w:w="108" w:type="dxa"/>
          </w:tblCellMar>
        </w:tblPrEx>
        <w:trPr>
          <w:trHeight w:val="610" w:hRule="atLeast"/>
          <w:jc w:val="center"/>
        </w:trPr>
        <w:tc>
          <w:tcPr>
            <w:tcW w:w="882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第二十条第（六）项</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信息内容</w:t>
            </w:r>
          </w:p>
        </w:tc>
        <w:tc>
          <w:tcPr>
            <w:tcW w:w="20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上一年项目数量</w:t>
            </w:r>
          </w:p>
        </w:tc>
        <w:tc>
          <w:tcPr>
            <w:tcW w:w="137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c>
          <w:tcPr>
            <w:tcW w:w="20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处理决定数量</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ascii="宋体" w:cs="Times New Roman"/>
                <w:kern w:val="0"/>
                <w:sz w:val="24"/>
                <w:szCs w:val="24"/>
              </w:rPr>
            </w:pPr>
            <w:r>
              <w:rPr>
                <w:rFonts w:hint="eastAsia" w:ascii="宋体" w:hAnsi="宋体" w:cs="宋体"/>
                <w:color w:val="000000"/>
                <w:kern w:val="0"/>
                <w:sz w:val="20"/>
                <w:szCs w:val="20"/>
              </w:rPr>
              <w:t>行政处罚</w:t>
            </w:r>
          </w:p>
        </w:tc>
        <w:tc>
          <w:tcPr>
            <w:tcW w:w="203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hAnsi="Calibri" w:eastAsia="宋体" w:cs="Times New Roman"/>
                <w:kern w:val="0"/>
                <w:sz w:val="24"/>
                <w:szCs w:val="24"/>
                <w:lang w:val="en-US" w:eastAsia="zh-CN" w:bidi="ar-SA"/>
              </w:rPr>
            </w:pPr>
            <w:r>
              <w:rPr>
                <w:rFonts w:hint="eastAsia" w:ascii="宋体" w:hAnsi="宋体" w:cs="宋体"/>
                <w:color w:val="000000"/>
                <w:kern w:val="0"/>
                <w:sz w:val="20"/>
                <w:szCs w:val="20"/>
                <w:lang w:val="en-US" w:eastAsia="zh-CN"/>
              </w:rPr>
              <w:t>5</w:t>
            </w:r>
          </w:p>
        </w:tc>
        <w:tc>
          <w:tcPr>
            <w:tcW w:w="13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hAnsi="Calibri" w:eastAsia="宋体" w:cs="Times New Roman"/>
                <w:kern w:val="0"/>
                <w:sz w:val="24"/>
                <w:szCs w:val="24"/>
                <w:lang w:val="en-US" w:eastAsia="zh-CN" w:bidi="ar-SA"/>
              </w:rPr>
            </w:pPr>
            <w:r>
              <w:rPr>
                <w:rFonts w:hint="eastAsia" w:ascii="宋体" w:hAnsi="宋体" w:cs="宋体"/>
                <w:color w:val="000000"/>
                <w:kern w:val="0"/>
                <w:sz w:val="20"/>
                <w:szCs w:val="20"/>
                <w:lang w:val="en-US" w:eastAsia="zh-CN"/>
              </w:rPr>
              <w:t>0</w:t>
            </w:r>
          </w:p>
        </w:tc>
        <w:tc>
          <w:tcPr>
            <w:tcW w:w="20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hAnsi="Calibri" w:eastAsia="宋体" w:cs="Times New Roman"/>
                <w:kern w:val="0"/>
                <w:sz w:val="24"/>
                <w:szCs w:val="24"/>
                <w:lang w:val="en-US" w:eastAsia="zh-CN" w:bidi="ar-SA"/>
              </w:rPr>
            </w:pPr>
            <w:r>
              <w:rPr>
                <w:rFonts w:hint="eastAsia" w:ascii="宋体" w:hAnsi="宋体" w:cs="宋体"/>
                <w:color w:val="000000"/>
                <w:kern w:val="0"/>
                <w:sz w:val="20"/>
                <w:szCs w:val="20"/>
                <w:lang w:val="en-US" w:eastAsia="zh-CN"/>
              </w:rPr>
              <w:t>5</w:t>
            </w:r>
            <w:bookmarkStart w:id="0" w:name="_GoBack"/>
            <w:bookmarkEnd w:id="0"/>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ascii="宋体" w:cs="Times New Roman"/>
                <w:kern w:val="0"/>
                <w:sz w:val="24"/>
                <w:szCs w:val="24"/>
              </w:rPr>
            </w:pPr>
            <w:r>
              <w:rPr>
                <w:rFonts w:hint="eastAsia" w:ascii="宋体" w:hAnsi="宋体" w:cs="宋体"/>
                <w:color w:val="000000"/>
                <w:kern w:val="0"/>
                <w:sz w:val="20"/>
                <w:szCs w:val="20"/>
              </w:rPr>
              <w:t>行政强制</w:t>
            </w:r>
          </w:p>
        </w:tc>
        <w:tc>
          <w:tcPr>
            <w:tcW w:w="203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hAnsi="Calibri" w:eastAsia="宋体" w:cs="Times New Roman"/>
                <w:kern w:val="0"/>
                <w:sz w:val="24"/>
                <w:szCs w:val="24"/>
                <w:lang w:val="en-US" w:eastAsia="zh-CN" w:bidi="ar-SA"/>
              </w:rPr>
            </w:pPr>
            <w:r>
              <w:rPr>
                <w:rFonts w:hint="eastAsia" w:ascii="宋体" w:hAnsi="宋体" w:cs="宋体"/>
                <w:color w:val="000000"/>
                <w:kern w:val="0"/>
                <w:sz w:val="20"/>
                <w:szCs w:val="20"/>
                <w:lang w:val="en-US" w:eastAsia="zh-CN"/>
              </w:rPr>
              <w:t>0</w:t>
            </w:r>
          </w:p>
        </w:tc>
        <w:tc>
          <w:tcPr>
            <w:tcW w:w="13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hAnsi="Calibri" w:eastAsia="宋体" w:cs="Times New Roman"/>
                <w:kern w:val="0"/>
                <w:sz w:val="24"/>
                <w:szCs w:val="24"/>
                <w:lang w:val="en-US" w:eastAsia="zh-CN" w:bidi="ar-SA"/>
              </w:rPr>
            </w:pPr>
            <w:r>
              <w:rPr>
                <w:rFonts w:hint="eastAsia" w:ascii="宋体" w:hAnsi="宋体" w:cs="宋体"/>
                <w:color w:val="000000"/>
                <w:kern w:val="0"/>
                <w:sz w:val="20"/>
                <w:szCs w:val="20"/>
                <w:lang w:val="en-US" w:eastAsia="zh-CN"/>
              </w:rPr>
              <w:t>0</w:t>
            </w:r>
          </w:p>
        </w:tc>
        <w:tc>
          <w:tcPr>
            <w:tcW w:w="20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hAnsi="Calibri" w:eastAsia="宋体" w:cs="Times New Roman"/>
                <w:kern w:val="0"/>
                <w:sz w:val="24"/>
                <w:szCs w:val="24"/>
                <w:lang w:val="en-US" w:eastAsia="zh-CN" w:bidi="ar-SA"/>
              </w:rPr>
            </w:pPr>
            <w:r>
              <w:rPr>
                <w:rFonts w:hint="eastAsia" w:ascii="宋体" w:hAnsi="宋体" w:cs="宋体"/>
                <w:color w:val="000000"/>
                <w:kern w:val="0"/>
                <w:sz w:val="20"/>
                <w:szCs w:val="20"/>
                <w:lang w:val="en-US" w:eastAsia="zh-CN"/>
              </w:rPr>
              <w:t>0</w:t>
            </w:r>
          </w:p>
        </w:tc>
      </w:tr>
      <w:tr>
        <w:tblPrEx>
          <w:tblCellMar>
            <w:top w:w="0" w:type="dxa"/>
            <w:left w:w="108" w:type="dxa"/>
            <w:bottom w:w="0" w:type="dxa"/>
            <w:right w:w="108" w:type="dxa"/>
          </w:tblCellMar>
        </w:tblPrEx>
        <w:trPr>
          <w:trHeight w:val="610" w:hRule="atLeast"/>
          <w:jc w:val="center"/>
        </w:trPr>
        <w:tc>
          <w:tcPr>
            <w:tcW w:w="882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第二十条第（八）项</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信息内容</w:t>
            </w:r>
          </w:p>
        </w:tc>
        <w:tc>
          <w:tcPr>
            <w:tcW w:w="203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ascii="宋体" w:cs="Times New Roman"/>
                <w:kern w:val="0"/>
                <w:sz w:val="24"/>
                <w:szCs w:val="24"/>
              </w:rPr>
            </w:pPr>
            <w:r>
              <w:rPr>
                <w:rFonts w:hint="eastAsia" w:ascii="宋体" w:hAnsi="宋体" w:cs="宋体"/>
                <w:color w:val="000000"/>
                <w:kern w:val="0"/>
                <w:sz w:val="20"/>
                <w:szCs w:val="20"/>
              </w:rPr>
              <w:t>上一年项目数量</w:t>
            </w:r>
          </w:p>
        </w:tc>
        <w:tc>
          <w:tcPr>
            <w:tcW w:w="3413"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ascii="宋体" w:cs="Times New Roman"/>
                <w:kern w:val="0"/>
                <w:sz w:val="24"/>
                <w:szCs w:val="24"/>
              </w:rPr>
            </w:pPr>
            <w:r>
              <w:rPr>
                <w:rFonts w:hint="eastAsia" w:ascii="宋体" w:hAnsi="宋体" w:cs="宋体"/>
                <w:color w:val="000000"/>
                <w:kern w:val="0"/>
                <w:sz w:val="20"/>
                <w:szCs w:val="20"/>
              </w:rPr>
              <w:t>行政事业性收费</w:t>
            </w:r>
          </w:p>
        </w:tc>
        <w:tc>
          <w:tcPr>
            <w:tcW w:w="203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0</w:t>
            </w:r>
          </w:p>
        </w:tc>
        <w:tc>
          <w:tcPr>
            <w:tcW w:w="3413"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cs="Times New Roman"/>
                <w:color w:val="000000"/>
                <w:kern w:val="0"/>
                <w:sz w:val="20"/>
                <w:szCs w:val="20"/>
                <w:lang w:val="en-US" w:eastAsia="zh-CN"/>
              </w:rPr>
              <w:t>0</w:t>
            </w:r>
          </w:p>
        </w:tc>
      </w:tr>
      <w:tr>
        <w:tblPrEx>
          <w:tblCellMar>
            <w:top w:w="0" w:type="dxa"/>
            <w:left w:w="108" w:type="dxa"/>
            <w:bottom w:w="0" w:type="dxa"/>
            <w:right w:w="108" w:type="dxa"/>
          </w:tblCellMar>
        </w:tblPrEx>
        <w:trPr>
          <w:trHeight w:val="610" w:hRule="atLeast"/>
          <w:jc w:val="center"/>
        </w:trPr>
        <w:tc>
          <w:tcPr>
            <w:tcW w:w="882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第二十条第（九）项</w:t>
            </w:r>
          </w:p>
        </w:tc>
      </w:tr>
      <w:tr>
        <w:tblPrEx>
          <w:tblCellMar>
            <w:top w:w="0" w:type="dxa"/>
            <w:left w:w="108" w:type="dxa"/>
            <w:bottom w:w="0" w:type="dxa"/>
            <w:right w:w="108" w:type="dxa"/>
          </w:tblCellMar>
        </w:tblPrEx>
        <w:trPr>
          <w:trHeight w:val="610"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信息内容</w:t>
            </w:r>
          </w:p>
        </w:tc>
        <w:tc>
          <w:tcPr>
            <w:tcW w:w="203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采购项目数量</w:t>
            </w:r>
          </w:p>
        </w:tc>
        <w:tc>
          <w:tcPr>
            <w:tcW w:w="3413"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ascii="宋体" w:hAnsi="宋体" w:cs="宋体"/>
                <w:color w:val="000000"/>
                <w:kern w:val="0"/>
                <w:sz w:val="20"/>
                <w:szCs w:val="20"/>
              </w:rPr>
              <w:t>采购总金额</w:t>
            </w:r>
          </w:p>
        </w:tc>
      </w:tr>
      <w:tr>
        <w:tblPrEx>
          <w:tblCellMar>
            <w:top w:w="0" w:type="dxa"/>
            <w:left w:w="108" w:type="dxa"/>
            <w:bottom w:w="0" w:type="dxa"/>
            <w:right w:w="108" w:type="dxa"/>
          </w:tblCellMar>
        </w:tblPrEx>
        <w:trPr>
          <w:trHeight w:val="621" w:hRule="atLeast"/>
          <w:jc w:val="center"/>
        </w:trPr>
        <w:tc>
          <w:tcPr>
            <w:tcW w:w="337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ascii="宋体" w:cs="Times New Roman"/>
                <w:kern w:val="0"/>
                <w:sz w:val="24"/>
                <w:szCs w:val="24"/>
              </w:rPr>
            </w:pPr>
            <w:r>
              <w:rPr>
                <w:rFonts w:hint="eastAsia" w:ascii="宋体" w:hAnsi="宋体" w:cs="宋体"/>
                <w:color w:val="000000"/>
                <w:kern w:val="0"/>
                <w:sz w:val="20"/>
                <w:szCs w:val="20"/>
              </w:rPr>
              <w:t>政府集中采购</w:t>
            </w:r>
          </w:p>
        </w:tc>
        <w:tc>
          <w:tcPr>
            <w:tcW w:w="203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宋体" w:eastAsia="宋体" w:cs="Times New Roman"/>
                <w:kern w:val="0"/>
                <w:sz w:val="24"/>
                <w:szCs w:val="24"/>
                <w:lang w:val="en-US" w:eastAsia="zh-CN"/>
              </w:rPr>
            </w:pPr>
            <w:r>
              <w:rPr>
                <w:rFonts w:hint="eastAsia" w:ascii="宋体" w:hAnsi="宋体" w:cs="宋体"/>
                <w:color w:val="000000"/>
                <w:kern w:val="0"/>
                <w:sz w:val="20"/>
                <w:szCs w:val="20"/>
                <w:lang w:val="en-US" w:eastAsia="zh-CN"/>
              </w:rPr>
              <w:t>26</w:t>
            </w:r>
          </w:p>
        </w:tc>
        <w:tc>
          <w:tcPr>
            <w:tcW w:w="3413"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62,858,030.82元</w:t>
            </w:r>
          </w:p>
        </w:tc>
      </w:tr>
    </w:tbl>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kern w:val="0"/>
          <w:sz w:val="32"/>
          <w:szCs w:val="32"/>
        </w:rPr>
      </w:pPr>
      <w:r>
        <w:rPr>
          <w:rFonts w:hint="eastAsia" w:ascii="黑体" w:hAnsi="黑体" w:eastAsia="黑体" w:cs="黑体"/>
          <w:kern w:val="0"/>
          <w:sz w:val="32"/>
          <w:szCs w:val="32"/>
        </w:rPr>
        <w:t>三、收到和处理政府信息公开申请情况</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50"/>
        <w:gridCol w:w="2950"/>
        <w:gridCol w:w="450"/>
        <w:gridCol w:w="650"/>
        <w:gridCol w:w="700"/>
        <w:gridCol w:w="717"/>
        <w:gridCol w:w="733"/>
        <w:gridCol w:w="651"/>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55" w:type="dxa"/>
            <w:gridSpan w:val="3"/>
            <w:vMerge w:val="restart"/>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cs="宋体"/>
                <w:sz w:val="20"/>
                <w:szCs w:val="20"/>
              </w:rPr>
              <w:t>（本列数据的勾稽关系为：第一项加第二项之和，等于第三项加第四项之和）</w:t>
            </w:r>
          </w:p>
        </w:tc>
        <w:tc>
          <w:tcPr>
            <w:tcW w:w="4604" w:type="dxa"/>
            <w:gridSpan w:val="7"/>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55" w:type="dxa"/>
            <w:gridSpan w:val="3"/>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450" w:type="dxa"/>
            <w:vMerge w:val="restart"/>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自然人</w:t>
            </w:r>
          </w:p>
        </w:tc>
        <w:tc>
          <w:tcPr>
            <w:tcW w:w="3451" w:type="dxa"/>
            <w:gridSpan w:val="5"/>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法人或其他组织</w:t>
            </w:r>
          </w:p>
        </w:tc>
        <w:tc>
          <w:tcPr>
            <w:tcW w:w="703" w:type="dxa"/>
            <w:vMerge w:val="restart"/>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cs="宋体"/>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455" w:type="dxa"/>
            <w:gridSpan w:val="3"/>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4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cs="Times New Roman"/>
                <w:kern w:val="0"/>
                <w:sz w:val="24"/>
                <w:szCs w:val="24"/>
              </w:rPr>
            </w:pP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商业企业</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科研机构</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社会公益组织</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法律服务机构</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cs="宋体"/>
                <w:sz w:val="20"/>
                <w:szCs w:val="20"/>
              </w:rPr>
              <w:t>其他</w:t>
            </w:r>
          </w:p>
        </w:tc>
        <w:tc>
          <w:tcPr>
            <w:tcW w:w="703" w:type="dxa"/>
            <w:vMerge w:val="continue"/>
            <w:tcBorders>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55" w:type="dxa"/>
            <w:gridSpan w:val="3"/>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cs="宋体"/>
                <w:sz w:val="20"/>
                <w:szCs w:val="20"/>
              </w:rPr>
              <w:t>一、本年新收政府信息公开申请数量</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55" w:type="dxa"/>
            <w:gridSpan w:val="3"/>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cs="宋体"/>
                <w:sz w:val="20"/>
                <w:szCs w:val="20"/>
              </w:rPr>
              <w:t>二、上年结转政府信息公开申请数量</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restart"/>
            <w:tcBorders>
              <w:top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ascii="宋体" w:cs="Times New Roman"/>
                <w:kern w:val="0"/>
                <w:sz w:val="24"/>
                <w:szCs w:val="24"/>
              </w:rPr>
            </w:pPr>
            <w:r>
              <w:rPr>
                <w:rFonts w:hint="eastAsia" w:cs="宋体"/>
                <w:sz w:val="20"/>
                <w:szCs w:val="20"/>
              </w:rPr>
              <w:t>三、本年度办理结果</w:t>
            </w:r>
          </w:p>
        </w:tc>
        <w:tc>
          <w:tcPr>
            <w:tcW w:w="3700" w:type="dxa"/>
            <w:gridSpan w:val="2"/>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ascii="楷体" w:hAnsi="楷体" w:eastAsia="楷体" w:cs="楷体"/>
                <w:sz w:val="20"/>
                <w:szCs w:val="20"/>
              </w:rPr>
              <w:t>（一）予以公开</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3700" w:type="dxa"/>
            <w:gridSpan w:val="2"/>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ascii="楷体" w:hAnsi="楷体" w:eastAsia="楷体" w:cs="楷体"/>
                <w:sz w:val="20"/>
                <w:szCs w:val="20"/>
              </w:rPr>
              <w:t>（二）部分公开（区分处理的，只计这一情形，不计其他情形）</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restart"/>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ascii="楷体" w:hAnsi="楷体" w:eastAsia="楷体" w:cs="楷体"/>
                <w:sz w:val="20"/>
                <w:szCs w:val="20"/>
              </w:rPr>
              <w:t>（三）不予公开</w:t>
            </w: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ascii="楷体" w:hAnsi="楷体" w:eastAsia="楷体" w:cs="楷体"/>
                <w:sz w:val="20"/>
                <w:szCs w:val="20"/>
              </w:rPr>
              <w:t>1.</w:t>
            </w:r>
            <w:r>
              <w:rPr>
                <w:rFonts w:hint="eastAsia" w:ascii="楷体" w:hAnsi="楷体" w:eastAsia="楷体" w:cs="楷体"/>
                <w:sz w:val="20"/>
                <w:szCs w:val="20"/>
              </w:rPr>
              <w:t>属于国家秘密</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ascii="楷体" w:hAnsi="楷体" w:eastAsia="楷体" w:cs="楷体"/>
                <w:sz w:val="20"/>
                <w:szCs w:val="20"/>
              </w:rPr>
              <w:t>2.</w:t>
            </w:r>
            <w:r>
              <w:rPr>
                <w:rFonts w:hint="eastAsia" w:ascii="楷体" w:hAnsi="楷体" w:eastAsia="楷体" w:cs="楷体"/>
                <w:sz w:val="20"/>
                <w:szCs w:val="20"/>
              </w:rPr>
              <w:t>其他法律行政法规禁止公开</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ascii="楷体" w:hAnsi="楷体" w:eastAsia="楷体" w:cs="楷体"/>
                <w:sz w:val="20"/>
                <w:szCs w:val="20"/>
              </w:rPr>
              <w:t>3.</w:t>
            </w:r>
            <w:r>
              <w:rPr>
                <w:rFonts w:hint="eastAsia" w:ascii="楷体" w:hAnsi="楷体" w:eastAsia="楷体" w:cs="楷体"/>
                <w:sz w:val="20"/>
                <w:szCs w:val="20"/>
              </w:rPr>
              <w:t>危及“三安全一稳定”</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ascii="楷体" w:hAnsi="楷体" w:eastAsia="楷体" w:cs="楷体"/>
                <w:sz w:val="20"/>
                <w:szCs w:val="20"/>
              </w:rPr>
              <w:t>4.</w:t>
            </w:r>
            <w:r>
              <w:rPr>
                <w:rFonts w:hint="eastAsia" w:ascii="楷体" w:hAnsi="楷体" w:eastAsia="楷体" w:cs="楷体"/>
                <w:sz w:val="20"/>
                <w:szCs w:val="20"/>
              </w:rPr>
              <w:t>保护第三方合法权益</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ascii="楷体" w:hAnsi="楷体" w:eastAsia="楷体" w:cs="楷体"/>
                <w:sz w:val="20"/>
                <w:szCs w:val="20"/>
              </w:rPr>
              <w:t>5.</w:t>
            </w:r>
            <w:r>
              <w:rPr>
                <w:rFonts w:hint="eastAsia" w:ascii="楷体" w:hAnsi="楷体" w:eastAsia="楷体" w:cs="楷体"/>
                <w:sz w:val="20"/>
                <w:szCs w:val="20"/>
              </w:rPr>
              <w:t>属于三类内部事务信息</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ascii="楷体" w:hAnsi="楷体" w:eastAsia="楷体" w:cs="楷体"/>
                <w:sz w:val="20"/>
                <w:szCs w:val="20"/>
              </w:rPr>
              <w:t>6.</w:t>
            </w:r>
            <w:r>
              <w:rPr>
                <w:rFonts w:hint="eastAsia" w:ascii="楷体" w:hAnsi="楷体" w:eastAsia="楷体" w:cs="楷体"/>
                <w:sz w:val="20"/>
                <w:szCs w:val="20"/>
              </w:rPr>
              <w:t>属于四类过程性信息</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ascii="楷体" w:hAnsi="楷体" w:eastAsia="楷体" w:cs="楷体"/>
                <w:sz w:val="20"/>
                <w:szCs w:val="20"/>
              </w:rPr>
              <w:t>7.</w:t>
            </w:r>
            <w:r>
              <w:rPr>
                <w:rFonts w:hint="eastAsia" w:ascii="楷体" w:hAnsi="楷体" w:eastAsia="楷体" w:cs="楷体"/>
                <w:sz w:val="20"/>
                <w:szCs w:val="20"/>
              </w:rPr>
              <w:t>属于行政执法案卷</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ascii="楷体" w:hAnsi="楷体" w:eastAsia="楷体" w:cs="楷体"/>
                <w:sz w:val="20"/>
                <w:szCs w:val="20"/>
              </w:rPr>
              <w:t>8.</w:t>
            </w:r>
            <w:r>
              <w:rPr>
                <w:rFonts w:hint="eastAsia" w:ascii="楷体" w:hAnsi="楷体" w:eastAsia="楷体" w:cs="楷体"/>
                <w:sz w:val="20"/>
                <w:szCs w:val="20"/>
              </w:rPr>
              <w:t>属于行政查询事项</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restart"/>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ascii="楷体" w:hAnsi="楷体" w:eastAsia="楷体" w:cs="楷体"/>
                <w:sz w:val="20"/>
                <w:szCs w:val="20"/>
              </w:rPr>
              <w:t>（四）无法提供</w:t>
            </w: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ascii="宋体" w:cs="Times New Roman"/>
                <w:kern w:val="0"/>
                <w:sz w:val="24"/>
                <w:szCs w:val="24"/>
              </w:rPr>
            </w:pPr>
            <w:r>
              <w:rPr>
                <w:rFonts w:ascii="楷体" w:hAnsi="楷体" w:eastAsia="楷体" w:cs="楷体"/>
                <w:sz w:val="20"/>
                <w:szCs w:val="20"/>
              </w:rPr>
              <w:t>1.</w:t>
            </w:r>
            <w:r>
              <w:rPr>
                <w:rFonts w:hint="eastAsia" w:ascii="楷体" w:hAnsi="楷体" w:eastAsia="楷体" w:cs="楷体"/>
                <w:sz w:val="20"/>
                <w:szCs w:val="20"/>
              </w:rPr>
              <w:t>本机关不掌握相关政府信息</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0 </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ascii="宋体" w:cs="Times New Roman"/>
                <w:kern w:val="0"/>
                <w:sz w:val="24"/>
                <w:szCs w:val="24"/>
              </w:rPr>
            </w:pPr>
            <w:r>
              <w:rPr>
                <w:rFonts w:ascii="楷体" w:hAnsi="楷体" w:eastAsia="楷体" w:cs="楷体"/>
                <w:sz w:val="20"/>
                <w:szCs w:val="20"/>
              </w:rPr>
              <w:t>2.</w:t>
            </w:r>
            <w:r>
              <w:rPr>
                <w:rFonts w:hint="eastAsia" w:ascii="楷体" w:hAnsi="楷体" w:eastAsia="楷体" w:cs="楷体"/>
                <w:sz w:val="20"/>
                <w:szCs w:val="20"/>
              </w:rPr>
              <w:t>没有现成信息需要另行制作</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ascii="宋体" w:cs="Times New Roman"/>
                <w:kern w:val="0"/>
                <w:sz w:val="24"/>
                <w:szCs w:val="24"/>
              </w:rPr>
            </w:pPr>
            <w:r>
              <w:rPr>
                <w:rFonts w:ascii="楷体" w:hAnsi="楷体" w:eastAsia="楷体" w:cs="楷体"/>
                <w:sz w:val="20"/>
                <w:szCs w:val="20"/>
              </w:rPr>
              <w:t>3.</w:t>
            </w:r>
            <w:r>
              <w:rPr>
                <w:rFonts w:hint="eastAsia" w:ascii="楷体" w:hAnsi="楷体" w:eastAsia="楷体" w:cs="楷体"/>
                <w:sz w:val="20"/>
                <w:szCs w:val="20"/>
              </w:rPr>
              <w:t>补正后申请内容仍不明确</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restart"/>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ascii="楷体" w:hAnsi="楷体" w:eastAsia="楷体" w:cs="楷体"/>
                <w:sz w:val="20"/>
                <w:szCs w:val="20"/>
              </w:rPr>
              <w:t>（五）不予处理</w:t>
            </w: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ascii="宋体" w:cs="Times New Roman"/>
                <w:kern w:val="0"/>
                <w:sz w:val="24"/>
                <w:szCs w:val="24"/>
              </w:rPr>
            </w:pPr>
            <w:r>
              <w:rPr>
                <w:rFonts w:ascii="楷体" w:hAnsi="楷体" w:eastAsia="楷体" w:cs="楷体"/>
                <w:sz w:val="20"/>
                <w:szCs w:val="20"/>
              </w:rPr>
              <w:t>1.</w:t>
            </w:r>
            <w:r>
              <w:rPr>
                <w:rFonts w:hint="eastAsia" w:ascii="楷体" w:hAnsi="楷体" w:eastAsia="楷体" w:cs="楷体"/>
                <w:sz w:val="20"/>
                <w:szCs w:val="20"/>
              </w:rPr>
              <w:t>信访举报投诉类申请</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ascii="宋体" w:cs="Times New Roman"/>
                <w:kern w:val="0"/>
                <w:sz w:val="24"/>
                <w:szCs w:val="24"/>
              </w:rPr>
            </w:pPr>
            <w:r>
              <w:rPr>
                <w:rFonts w:ascii="楷体" w:hAnsi="楷体" w:eastAsia="楷体" w:cs="楷体"/>
                <w:sz w:val="20"/>
                <w:szCs w:val="20"/>
              </w:rPr>
              <w:t>2.</w:t>
            </w:r>
            <w:r>
              <w:rPr>
                <w:rFonts w:hint="eastAsia" w:ascii="楷体" w:hAnsi="楷体" w:eastAsia="楷体" w:cs="楷体"/>
                <w:sz w:val="20"/>
                <w:szCs w:val="20"/>
              </w:rPr>
              <w:t>重复申请</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ascii="宋体" w:cs="Times New Roman"/>
                <w:kern w:val="0"/>
                <w:sz w:val="24"/>
                <w:szCs w:val="24"/>
              </w:rPr>
            </w:pPr>
            <w:r>
              <w:rPr>
                <w:rFonts w:ascii="楷体" w:hAnsi="楷体" w:eastAsia="楷体" w:cs="楷体"/>
                <w:sz w:val="20"/>
                <w:szCs w:val="20"/>
              </w:rPr>
              <w:t>3.</w:t>
            </w:r>
            <w:r>
              <w:rPr>
                <w:rFonts w:hint="eastAsia" w:ascii="楷体" w:hAnsi="楷体" w:eastAsia="楷体" w:cs="楷体"/>
                <w:sz w:val="20"/>
                <w:szCs w:val="20"/>
              </w:rPr>
              <w:t>要求提供公开出版物</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ascii="宋体" w:cs="Times New Roman"/>
                <w:kern w:val="0"/>
                <w:sz w:val="24"/>
                <w:szCs w:val="24"/>
              </w:rPr>
            </w:pPr>
            <w:r>
              <w:rPr>
                <w:rFonts w:ascii="楷体" w:hAnsi="楷体" w:eastAsia="楷体" w:cs="楷体"/>
                <w:sz w:val="20"/>
                <w:szCs w:val="20"/>
              </w:rPr>
              <w:t>4.</w:t>
            </w:r>
            <w:r>
              <w:rPr>
                <w:rFonts w:hint="eastAsia" w:ascii="楷体" w:hAnsi="楷体" w:eastAsia="楷体" w:cs="楷体"/>
                <w:sz w:val="20"/>
                <w:szCs w:val="20"/>
              </w:rPr>
              <w:t>无正当理由大量反复申请</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750"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29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ascii="宋体" w:cs="Times New Roman"/>
                <w:kern w:val="0"/>
                <w:sz w:val="24"/>
                <w:szCs w:val="24"/>
              </w:rPr>
            </w:pPr>
            <w:r>
              <w:rPr>
                <w:rFonts w:ascii="楷体" w:hAnsi="楷体" w:eastAsia="楷体" w:cs="楷体"/>
                <w:sz w:val="20"/>
                <w:szCs w:val="20"/>
              </w:rPr>
              <w:t>5.</w:t>
            </w:r>
            <w:r>
              <w:rPr>
                <w:rFonts w:hint="eastAsia" w:ascii="楷体" w:hAnsi="楷体" w:eastAsia="楷体" w:cs="楷体"/>
                <w:sz w:val="20"/>
                <w:szCs w:val="20"/>
              </w:rPr>
              <w:t>要求行政机关确认或重新出具已获取信息</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3700" w:type="dxa"/>
            <w:gridSpan w:val="2"/>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ascii="楷体" w:hAnsi="楷体" w:eastAsia="楷体" w:cs="楷体"/>
                <w:sz w:val="20"/>
                <w:szCs w:val="20"/>
              </w:rPr>
              <w:t>（六）其他处理</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55"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s="Times New Roman"/>
                <w:kern w:val="0"/>
                <w:sz w:val="24"/>
                <w:szCs w:val="24"/>
              </w:rPr>
            </w:pPr>
          </w:p>
        </w:tc>
        <w:tc>
          <w:tcPr>
            <w:tcW w:w="3700" w:type="dxa"/>
            <w:gridSpan w:val="2"/>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ascii="楷体" w:hAnsi="楷体" w:eastAsia="楷体" w:cs="楷体"/>
                <w:sz w:val="20"/>
                <w:szCs w:val="20"/>
              </w:rPr>
              <w:t>（七）总计</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default"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55" w:type="dxa"/>
            <w:gridSpan w:val="3"/>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cs="Times New Roman"/>
                <w:kern w:val="0"/>
                <w:sz w:val="24"/>
                <w:szCs w:val="24"/>
              </w:rPr>
            </w:pPr>
            <w:r>
              <w:rPr>
                <w:rFonts w:hint="eastAsia" w:cs="宋体"/>
                <w:sz w:val="20"/>
                <w:szCs w:val="20"/>
              </w:rPr>
              <w:t>四、结转下年度继续办理</w:t>
            </w:r>
          </w:p>
        </w:tc>
        <w:tc>
          <w:tcPr>
            <w:tcW w:w="4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17"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3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1"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703"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kern w:val="0"/>
          <w:sz w:val="32"/>
          <w:szCs w:val="32"/>
        </w:rPr>
      </w:pPr>
      <w:r>
        <w:rPr>
          <w:rFonts w:hint="eastAsia" w:ascii="黑体" w:hAnsi="黑体" w:eastAsia="黑体" w:cs="黑体"/>
          <w:kern w:val="0"/>
          <w:sz w:val="32"/>
          <w:szCs w:val="32"/>
        </w:rPr>
        <w:t>四、政府信息公开行政复议、行政诉讼情况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行政复议</w:t>
            </w:r>
          </w:p>
        </w:tc>
        <w:tc>
          <w:tcPr>
            <w:tcW w:w="5997" w:type="dxa"/>
            <w:gridSpan w:val="10"/>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结果维持</w:t>
            </w:r>
          </w:p>
        </w:tc>
        <w:tc>
          <w:tcPr>
            <w:tcW w:w="604" w:type="dxa"/>
            <w:vMerge w:val="restart"/>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结果纠正</w:t>
            </w:r>
          </w:p>
        </w:tc>
        <w:tc>
          <w:tcPr>
            <w:tcW w:w="604" w:type="dxa"/>
            <w:vMerge w:val="restart"/>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其他结果</w:t>
            </w:r>
          </w:p>
        </w:tc>
        <w:tc>
          <w:tcPr>
            <w:tcW w:w="604" w:type="dxa"/>
            <w:vMerge w:val="restart"/>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尚未审结</w:t>
            </w:r>
          </w:p>
        </w:tc>
        <w:tc>
          <w:tcPr>
            <w:tcW w:w="658" w:type="dxa"/>
            <w:vMerge w:val="restart"/>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总计</w:t>
            </w:r>
          </w:p>
        </w:tc>
        <w:tc>
          <w:tcPr>
            <w:tcW w:w="2970" w:type="dxa"/>
            <w:gridSpan w:val="5"/>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未经复议直接起诉</w:t>
            </w:r>
          </w:p>
        </w:tc>
        <w:tc>
          <w:tcPr>
            <w:tcW w:w="3027" w:type="dxa"/>
            <w:gridSpan w:val="5"/>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cs="Times New Roman"/>
                <w:kern w:val="0"/>
                <w:sz w:val="24"/>
                <w:szCs w:val="24"/>
              </w:rPr>
            </w:pPr>
          </w:p>
        </w:tc>
        <w:tc>
          <w:tcPr>
            <w:tcW w:w="604" w:type="dxa"/>
            <w:vMerge w:val="continue"/>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cs="Times New Roman"/>
                <w:kern w:val="0"/>
                <w:sz w:val="24"/>
                <w:szCs w:val="24"/>
              </w:rPr>
            </w:pPr>
          </w:p>
        </w:tc>
        <w:tc>
          <w:tcPr>
            <w:tcW w:w="604" w:type="dxa"/>
            <w:vMerge w:val="continue"/>
            <w:tcBorders>
              <w:lef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cs="Times New Roman"/>
                <w:kern w:val="0"/>
                <w:sz w:val="24"/>
                <w:szCs w:val="24"/>
              </w:rPr>
            </w:pPr>
          </w:p>
        </w:tc>
        <w:tc>
          <w:tcPr>
            <w:tcW w:w="604" w:type="dxa"/>
            <w:vMerge w:val="continue"/>
            <w:tcBorders>
              <w:lef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cs="Times New Roman"/>
                <w:kern w:val="0"/>
                <w:sz w:val="24"/>
                <w:szCs w:val="24"/>
              </w:rPr>
            </w:pPr>
          </w:p>
        </w:tc>
        <w:tc>
          <w:tcPr>
            <w:tcW w:w="658" w:type="dxa"/>
            <w:vMerge w:val="continue"/>
            <w:tcBorders>
              <w:lef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cs="Times New Roman"/>
                <w:kern w:val="0"/>
                <w:sz w:val="24"/>
                <w:szCs w:val="24"/>
              </w:rPr>
            </w:pPr>
          </w:p>
        </w:tc>
        <w:tc>
          <w:tcPr>
            <w:tcW w:w="5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结果维持</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结果纠正</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其他结果</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尚未审结</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ascii="宋体" w:hAnsi="宋体" w:cs="宋体"/>
                <w:color w:val="000000"/>
                <w:kern w:val="0"/>
                <w:sz w:val="20"/>
                <w:szCs w:val="20"/>
              </w:rPr>
              <w:t>总计</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结果维持</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结果纠正</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ascii="宋体" w:hAnsi="宋体" w:cs="宋体"/>
                <w:color w:val="000000"/>
                <w:kern w:val="0"/>
                <w:sz w:val="20"/>
                <w:szCs w:val="20"/>
              </w:rPr>
              <w:t>其他结果</w:t>
            </w:r>
          </w:p>
        </w:tc>
        <w:tc>
          <w:tcPr>
            <w:tcW w:w="606"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cs="宋体"/>
                <w:sz w:val="20"/>
                <w:szCs w:val="20"/>
              </w:rPr>
              <w:t>尚未审结</w:t>
            </w:r>
          </w:p>
        </w:tc>
        <w:tc>
          <w:tcPr>
            <w:tcW w:w="606"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ascii="宋体" w:cs="Times New Roman"/>
                <w:kern w:val="0"/>
                <w:sz w:val="24"/>
                <w:szCs w:val="24"/>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宋体" w:hAnsi="Calibri" w:eastAsia="宋体" w:cs="Times New Roman"/>
                <w:kern w:val="0"/>
                <w:sz w:val="24"/>
                <w:szCs w:val="24"/>
                <w:lang w:val="en-US" w:eastAsia="zh-CN" w:bidi="ar-SA"/>
              </w:rPr>
            </w:pPr>
            <w:r>
              <w:rPr>
                <w:rFonts w:hint="eastAsia" w:cs="Times New Roman"/>
                <w:sz w:val="20"/>
                <w:szCs w:val="20"/>
                <w:lang w:val="en-US" w:eastAsia="zh-CN"/>
              </w:rPr>
              <w:t>0</w:t>
            </w:r>
          </w:p>
        </w:tc>
        <w:tc>
          <w:tcPr>
            <w:tcW w:w="604"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04"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04"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58"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550"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c>
          <w:tcPr>
            <w:tcW w:w="60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 0</w:t>
            </w:r>
          </w:p>
        </w:tc>
        <w:tc>
          <w:tcPr>
            <w:tcW w:w="606"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0 </w:t>
            </w:r>
          </w:p>
        </w:tc>
        <w:tc>
          <w:tcPr>
            <w:tcW w:w="606" w:type="dxa"/>
            <w:tcBorders>
              <w:left w:val="nil"/>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cs="Times New Roman"/>
                <w:sz w:val="20"/>
                <w:szCs w:val="20"/>
                <w:lang w:val="en-US" w:eastAsia="zh-CN"/>
              </w:rPr>
            </w:pPr>
            <w:r>
              <w:rPr>
                <w:rFonts w:hint="eastAsia" w:cs="Times New Roman"/>
                <w:sz w:val="20"/>
                <w:szCs w:val="20"/>
                <w:lang w:val="en-US" w:eastAsia="zh-CN"/>
              </w:rPr>
              <w:t>0</w:t>
            </w:r>
          </w:p>
        </w:tc>
      </w:tr>
    </w:tbl>
    <w:p>
      <w:pPr>
        <w:pStyle w:val="2"/>
        <w:keepNext w:val="0"/>
        <w:keepLines w:val="0"/>
        <w:widowControl/>
        <w:suppressLineNumbers w:val="0"/>
        <w:spacing w:before="210" w:beforeAutospacing="0" w:after="210" w:afterAutospacing="0" w:line="23" w:lineRule="atLeast"/>
        <w:rPr>
          <w:rFonts w:hint="eastAsia" w:ascii="黑体" w:hAnsi="黑体" w:eastAsia="黑体" w:cs="黑体"/>
          <w:kern w:val="0"/>
          <w:sz w:val="32"/>
          <w:szCs w:val="32"/>
          <w:lang w:val="en-US" w:eastAsia="zh-CN" w:bidi="ar-SA"/>
        </w:rPr>
      </w:pPr>
      <w:r>
        <w:t>　</w:t>
      </w:r>
      <w:r>
        <w:rPr>
          <w:rFonts w:hint="eastAsia" w:ascii="黑体" w:hAnsi="黑体" w:eastAsia="黑体" w:cs="黑体"/>
          <w:kern w:val="0"/>
          <w:sz w:val="32"/>
          <w:szCs w:val="32"/>
          <w:lang w:val="en-US" w:eastAsia="zh-CN" w:bidi="ar-SA"/>
        </w:rPr>
        <w:t>　五、存在的主要问题和改进情况</w:t>
      </w:r>
    </w:p>
    <w:p>
      <w:pPr>
        <w:pStyle w:val="2"/>
        <w:keepNext w:val="0"/>
        <w:keepLines w:val="0"/>
        <w:widowControl/>
        <w:suppressLineNumbers w:val="0"/>
        <w:spacing w:before="210" w:beforeAutospacing="0" w:after="210" w:afterAutospacing="0" w:line="23" w:lineRule="atLeast"/>
        <w:ind w:firstLine="491"/>
        <w:jc w:val="both"/>
        <w:rPr>
          <w:rFonts w:hint="eastAsia" w:ascii="仿宋" w:hAnsi="仿宋" w:eastAsia="仿宋" w:cs="仿宋"/>
          <w:sz w:val="32"/>
          <w:szCs w:val="32"/>
        </w:rPr>
      </w:pPr>
      <w:r>
        <w:rPr>
          <w:rFonts w:hint="eastAsia" w:ascii="仿宋" w:hAnsi="仿宋" w:eastAsia="仿宋" w:cs="仿宋"/>
          <w:sz w:val="32"/>
          <w:szCs w:val="32"/>
        </w:rPr>
        <w:t>（一）存在的问题。一是仍存在着更新不及时，公开内容不完善等问题。二是各职能科室对政务公开工作重视程度不够，主动公开意识不强。</w:t>
      </w:r>
    </w:p>
    <w:p>
      <w:pPr>
        <w:pStyle w:val="2"/>
        <w:keepNext w:val="0"/>
        <w:keepLines w:val="0"/>
        <w:widowControl/>
        <w:suppressLineNumbers w:val="0"/>
        <w:spacing w:before="210" w:beforeAutospacing="0" w:after="210" w:afterAutospacing="0" w:line="23" w:lineRule="atLeast"/>
        <w:ind w:firstLine="491"/>
        <w:jc w:val="both"/>
        <w:rPr>
          <w:rFonts w:hint="eastAsia" w:ascii="仿宋" w:hAnsi="仿宋" w:eastAsia="仿宋" w:cs="仿宋"/>
          <w:sz w:val="32"/>
          <w:szCs w:val="32"/>
        </w:rPr>
      </w:pPr>
      <w:r>
        <w:rPr>
          <w:rFonts w:hint="eastAsia" w:ascii="仿宋" w:hAnsi="仿宋" w:eastAsia="仿宋" w:cs="仿宋"/>
          <w:sz w:val="32"/>
          <w:szCs w:val="32"/>
        </w:rPr>
        <w:t>（二）改进的措施。一是要加强依法行政意识，继续学习贯彻新修订的《中华人民共和国政府信息公开条例》；二是加强信息工作时效性，使之成为工作惯例。三是进一步严格执行重大信息发布审查程序，加强文件合法性及保密审查。</w:t>
      </w:r>
    </w:p>
    <w:p>
      <w:pPr>
        <w:pStyle w:val="2"/>
        <w:keepNext w:val="0"/>
        <w:keepLines w:val="0"/>
        <w:widowControl/>
        <w:suppressLineNumbers w:val="0"/>
        <w:spacing w:before="210" w:beforeAutospacing="0" w:after="210" w:afterAutospacing="0" w:line="23" w:lineRule="atLeast"/>
        <w:jc w:val="both"/>
        <w:rPr>
          <w:rFonts w:hint="eastAsia" w:ascii="仿宋" w:hAnsi="仿宋" w:eastAsia="仿宋" w:cs="仿宋"/>
          <w:sz w:val="32"/>
          <w:szCs w:val="32"/>
        </w:rPr>
      </w:pPr>
      <w:r>
        <w:rPr>
          <w:rFonts w:hint="eastAsia" w:ascii="仿宋" w:hAnsi="仿宋" w:eastAsia="仿宋" w:cs="仿宋"/>
          <w:sz w:val="32"/>
          <w:szCs w:val="32"/>
        </w:rPr>
        <w:t>　　</w:t>
      </w:r>
    </w:p>
    <w:p>
      <w:pPr>
        <w:pStyle w:val="2"/>
        <w:keepNext w:val="0"/>
        <w:keepLines w:val="0"/>
        <w:widowControl/>
        <w:suppressLineNumbers w:val="0"/>
        <w:spacing w:before="210" w:beforeAutospacing="0" w:after="210" w:afterAutospacing="0" w:line="23" w:lineRule="atLeast"/>
        <w:ind w:firstLine="3200" w:firstLineChars="1000"/>
        <w:jc w:val="both"/>
        <w:rPr>
          <w:rFonts w:hint="eastAsia" w:ascii="仿宋" w:hAnsi="仿宋" w:eastAsia="仿宋" w:cs="仿宋"/>
          <w:sz w:val="32"/>
          <w:szCs w:val="32"/>
        </w:rPr>
      </w:pPr>
      <w:r>
        <w:rPr>
          <w:rFonts w:hint="eastAsia" w:ascii="仿宋" w:hAnsi="仿宋" w:eastAsia="仿宋" w:cs="仿宋"/>
          <w:sz w:val="32"/>
          <w:szCs w:val="32"/>
        </w:rPr>
        <w:t>满洲里市住建局2021年1月2</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721AF0"/>
    <w:multiLevelType w:val="singleLevel"/>
    <w:tmpl w:val="E5721AF0"/>
    <w:lvl w:ilvl="0" w:tentative="0">
      <w:start w:val="8"/>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73C9"/>
    <w:rsid w:val="08450E0A"/>
    <w:rsid w:val="28485100"/>
    <w:rsid w:val="54EF37B4"/>
    <w:rsid w:val="5E3F5A90"/>
    <w:rsid w:val="602C4458"/>
    <w:rsid w:val="64AF186E"/>
    <w:rsid w:val="7C507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2021-01-27T02:30:00Z</dcterms:created>
  <dc:creator>ZH</dc:creator>
  <cp:lastModifiedBy>ZH</cp:lastModifiedBy>
  <dcterms:modified xsi:type="dcterms:W3CDTF">2021-01-27T03:17:03Z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