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32"/>
          <w:szCs w:val="32"/>
        </w:rPr>
      </w:pPr>
      <w:bookmarkStart w:id="0" w:name="_GoBack"/>
      <w:r>
        <w:rPr>
          <w:rFonts w:hint="eastAsia" w:ascii="微软雅黑" w:hAnsi="微软雅黑" w:eastAsia="微软雅黑" w:cs="微软雅黑"/>
          <w:b/>
          <w:bCs/>
          <w:sz w:val="32"/>
          <w:szCs w:val="32"/>
        </w:rPr>
        <w:t>满洲里市人力资源和社会保障局2020年</w:t>
      </w:r>
    </w:p>
    <w:p>
      <w:pPr>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政府信息公开</w:t>
      </w:r>
      <w:r>
        <w:rPr>
          <w:rFonts w:hint="eastAsia" w:ascii="微软雅黑" w:hAnsi="微软雅黑" w:eastAsia="微软雅黑" w:cs="微软雅黑"/>
          <w:b/>
          <w:bCs/>
          <w:sz w:val="32"/>
          <w:szCs w:val="32"/>
          <w:lang w:val="en-US" w:eastAsia="zh-CN"/>
        </w:rPr>
        <w:t>工作</w:t>
      </w:r>
      <w:r>
        <w:rPr>
          <w:rFonts w:hint="eastAsia" w:ascii="微软雅黑" w:hAnsi="微软雅黑" w:eastAsia="微软雅黑" w:cs="微软雅黑"/>
          <w:b/>
          <w:bCs/>
          <w:sz w:val="32"/>
          <w:szCs w:val="32"/>
        </w:rPr>
        <w:t>年度报告</w:t>
      </w:r>
    </w:p>
    <w:bookmarkEnd w:id="0"/>
    <w:p>
      <w:pPr>
        <w:pStyle w:val="4"/>
        <w:widowControl/>
        <w:rPr>
          <w:rFonts w:hint="eastAsia" w:ascii="微软雅黑" w:hAnsi="微软雅黑" w:eastAsia="微软雅黑" w:cs="微软雅黑"/>
          <w:b/>
          <w:bCs/>
          <w:sz w:val="21"/>
          <w:szCs w:val="21"/>
        </w:rPr>
      </w:pPr>
      <w:r>
        <w:rPr>
          <w:rFonts w:hint="eastAsia" w:ascii="微软雅黑" w:hAnsi="微软雅黑" w:eastAsia="微软雅黑" w:cs="微软雅黑"/>
          <w:sz w:val="22"/>
          <w:szCs w:val="28"/>
        </w:rPr>
        <w:t>　　</w:t>
      </w:r>
      <w:r>
        <w:rPr>
          <w:rFonts w:hint="eastAsia" w:ascii="微软雅黑" w:hAnsi="微软雅黑" w:eastAsia="微软雅黑" w:cs="微软雅黑"/>
          <w:b/>
          <w:bCs/>
          <w:sz w:val="21"/>
          <w:szCs w:val="21"/>
        </w:rPr>
        <w:t>一、总体情况</w:t>
      </w:r>
    </w:p>
    <w:p>
      <w:pPr>
        <w:pStyle w:val="4"/>
        <w:widowControl/>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2020年，满洲里市人力资源和社会保障局认真贯彻落实《</w:t>
      </w:r>
      <w:r>
        <w:rPr>
          <w:rFonts w:hint="eastAsia" w:ascii="微软雅黑" w:hAnsi="微软雅黑" w:eastAsia="微软雅黑" w:cs="微软雅黑"/>
          <w:color w:val="333333"/>
          <w:sz w:val="21"/>
          <w:szCs w:val="21"/>
        </w:rPr>
        <w:t>中华人民共和国政府信息公开条例</w:t>
      </w:r>
      <w:r>
        <w:rPr>
          <w:rFonts w:hint="eastAsia" w:ascii="微软雅黑" w:hAnsi="微软雅黑" w:eastAsia="微软雅黑" w:cs="微软雅黑"/>
          <w:sz w:val="21"/>
          <w:szCs w:val="21"/>
        </w:rPr>
        <w:t>》，按照市委、市政府的统一部署，坚持围绕中心、服务大局，按照公开原则，及时、准确、全面公开群众普遍关心、涉及群众切身利益的政府信息，扎实做好政务信息公开工作，切实保障人民群众的知情权、参与权、监督权和表达权。</w:t>
      </w:r>
    </w:p>
    <w:p>
      <w:pPr>
        <w:numPr>
          <w:ilvl w:val="0"/>
          <w:numId w:val="1"/>
        </w:numPr>
        <w:spacing w:line="600" w:lineRule="exact"/>
        <w:ind w:firstLine="643"/>
        <w:rPr>
          <w:rFonts w:ascii="微软雅黑" w:hAnsi="微软雅黑" w:eastAsia="微软雅黑" w:cs="微软雅黑"/>
          <w:sz w:val="21"/>
          <w:szCs w:val="21"/>
        </w:rPr>
      </w:pPr>
      <w:r>
        <w:rPr>
          <w:rFonts w:hint="eastAsia" w:ascii="微软雅黑" w:hAnsi="微软雅黑" w:eastAsia="微软雅黑" w:cs="微软雅黑"/>
          <w:sz w:val="21"/>
          <w:szCs w:val="21"/>
        </w:rPr>
        <w:t>主动公开方面。一是加大就业创业信息公开力度。积极开展“春风行动”、“复工复产 共建家园”、“退役军人专场招聘会”等为主题的网络招聘会，积极开发高校毕业生公益性岗位，为求职人员及个人创业群众多渠道提供就业创业政策。充分发挥新媒体公开优势，在满洲里市人才网、“满洲里12333”微信公众号等平台，公布我市近年来出台的各项就业创业政策，方便有就业创业需求的群体便捷获取就业政策。二是加大社会保障信息公开力度。在“满洲里市12333”微信公众号及时更新人社部门的相关政策及工作动态，让参保群众足不出户了解人社动态。三是加大劳动保障信息公开力度。利用微信公众平台，推行“不见面”办公，将维权从“线下”转向“线上”开展，完善了网络投诉举报管理机制。四是加大财政资金信息公开力度。全面实行财政预决算和“三公”经费信息公开。五是继续拓宽微信公众号各类功能，增强公开实效。我局现有三个微信公众号，“满洲里12333”发布信息48条、</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满洲里劳动保障</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发布信息12</w:t>
      </w:r>
      <w:r>
        <w:rPr>
          <w:rFonts w:hint="eastAsia" w:ascii="微软雅黑" w:hAnsi="微软雅黑" w:eastAsia="微软雅黑" w:cs="微软雅黑"/>
          <w:sz w:val="21"/>
          <w:szCs w:val="21"/>
          <w:lang w:val="en-US" w:eastAsia="zh-CN"/>
        </w:rPr>
        <w:t>9</w:t>
      </w:r>
      <w:r>
        <w:rPr>
          <w:rFonts w:hint="eastAsia" w:ascii="微软雅黑" w:hAnsi="微软雅黑" w:eastAsia="微软雅黑" w:cs="微软雅黑"/>
          <w:sz w:val="21"/>
          <w:szCs w:val="21"/>
        </w:rPr>
        <w:t>条、</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满洲里就业服务</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发布信息78条。2020年及时回应“市长信箱”信函8件，百姓留言13件，答复十五届人大四次会议建议12件，十一届政协四次会议提案8件。</w:t>
      </w:r>
    </w:p>
    <w:p>
      <w:pPr>
        <w:numPr>
          <w:ilvl w:val="0"/>
          <w:numId w:val="1"/>
        </w:numPr>
        <w:spacing w:line="600" w:lineRule="exact"/>
        <w:ind w:firstLine="643"/>
        <w:rPr>
          <w:rFonts w:ascii="微软雅黑" w:hAnsi="微软雅黑" w:eastAsia="微软雅黑" w:cs="微软雅黑"/>
          <w:sz w:val="21"/>
          <w:szCs w:val="21"/>
        </w:rPr>
      </w:pPr>
      <w:r>
        <w:rPr>
          <w:rFonts w:hint="eastAsia" w:ascii="微软雅黑" w:hAnsi="微软雅黑" w:eastAsia="微软雅黑" w:cs="微软雅黑"/>
          <w:sz w:val="21"/>
          <w:szCs w:val="21"/>
        </w:rPr>
        <w:t>依申请公开方面。2020年度，我局未接到依申请公开事项、未产生依申请公开政府信息案例、未产生因政府信息公开产生的行政诉讼。</w:t>
      </w:r>
    </w:p>
    <w:p>
      <w:pPr>
        <w:numPr>
          <w:ilvl w:val="0"/>
          <w:numId w:val="1"/>
        </w:numPr>
        <w:spacing w:line="600" w:lineRule="exact"/>
        <w:ind w:firstLine="643"/>
        <w:rPr>
          <w:rFonts w:ascii="微软雅黑" w:hAnsi="微软雅黑" w:eastAsia="微软雅黑" w:cs="微软雅黑"/>
          <w:sz w:val="21"/>
          <w:szCs w:val="21"/>
        </w:rPr>
      </w:pPr>
      <w:r>
        <w:rPr>
          <w:rFonts w:hint="eastAsia" w:ascii="微软雅黑" w:hAnsi="微软雅黑" w:eastAsia="微软雅黑" w:cs="微软雅黑"/>
          <w:sz w:val="21"/>
          <w:szCs w:val="21"/>
        </w:rPr>
        <w:t>政府信息管理方面。根据机关人事变动情况调整了政务公开工作领导小组，由副局长专门负责政务公开工作。坚持以公开为常态、不公开为例外，抓住涉及关键工作、关键环节，突出群众关心、社会关注、与群众利益关系最密切的重要事项，从内容和形式上重点加以深化，积极回应社会关切内容。</w:t>
      </w:r>
    </w:p>
    <w:p>
      <w:pPr>
        <w:numPr>
          <w:ilvl w:val="0"/>
          <w:numId w:val="1"/>
        </w:numPr>
        <w:spacing w:line="600" w:lineRule="exact"/>
        <w:ind w:firstLine="643"/>
        <w:rPr>
          <w:rFonts w:ascii="微软雅黑" w:hAnsi="微软雅黑" w:eastAsia="微软雅黑" w:cs="微软雅黑"/>
          <w:sz w:val="21"/>
          <w:szCs w:val="21"/>
        </w:rPr>
      </w:pPr>
      <w:r>
        <w:rPr>
          <w:rFonts w:hint="eastAsia" w:ascii="微软雅黑" w:hAnsi="微软雅黑" w:eastAsia="微软雅黑" w:cs="微软雅黑"/>
          <w:sz w:val="21"/>
          <w:szCs w:val="21"/>
        </w:rPr>
        <w:t>监督保障方面。一是全面落实</w:t>
      </w:r>
      <w:r>
        <w:rPr>
          <w:rFonts w:hint="eastAsia" w:ascii="微软雅黑" w:hAnsi="微软雅黑" w:eastAsia="微软雅黑" w:cs="微软雅黑"/>
          <w:bCs/>
          <w:sz w:val="21"/>
          <w:szCs w:val="21"/>
        </w:rPr>
        <w:t>公共事项服务</w:t>
      </w:r>
      <w:r>
        <w:rPr>
          <w:rFonts w:hint="eastAsia" w:ascii="微软雅黑" w:hAnsi="微软雅黑" w:eastAsia="微软雅黑" w:cs="微软雅黑"/>
          <w:sz w:val="21"/>
          <w:szCs w:val="21"/>
        </w:rPr>
        <w:t>清单管理制度，对我局全部</w:t>
      </w:r>
      <w:r>
        <w:rPr>
          <w:rFonts w:hint="eastAsia" w:ascii="微软雅黑" w:hAnsi="微软雅黑" w:eastAsia="微软雅黑" w:cs="微软雅黑"/>
          <w:bCs/>
          <w:sz w:val="21"/>
          <w:szCs w:val="21"/>
        </w:rPr>
        <w:t>公共事项服务的办理流程、办理时间等内容进行梳理，形成详细的办理指南，并及时在内蒙古政务服务网进行公布，</w:t>
      </w:r>
      <w:r>
        <w:rPr>
          <w:rFonts w:hint="eastAsia" w:ascii="微软雅黑" w:hAnsi="微软雅黑" w:eastAsia="微软雅黑" w:cs="微软雅黑"/>
          <w:sz w:val="21"/>
          <w:szCs w:val="21"/>
        </w:rPr>
        <w:t>接受社会监督，通过发改等部门对行政事业收费清单进行公示。二是完善群众投诉受理机制，接受群众咨询，回答群众提问，解决群众诉求。健全激励和问责机制，坚决避免政务公开流于形式，确保各项工作落到实处。</w:t>
      </w:r>
    </w:p>
    <w:p>
      <w:pPr>
        <w:pStyle w:val="4"/>
        <w:widowControl/>
        <w:numPr>
          <w:ilvl w:val="0"/>
          <w:numId w:val="2"/>
        </w:numPr>
        <w:ind w:firstLine="420" w:firstLineChars="200"/>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主动公开政府信息情况</w:t>
      </w:r>
    </w:p>
    <w:tbl>
      <w:tblPr>
        <w:tblStyle w:val="5"/>
        <w:tblW w:w="8140" w:type="dxa"/>
        <w:jc w:val="center"/>
        <w:tblLayout w:type="fixed"/>
        <w:tblCellMar>
          <w:top w:w="0" w:type="dxa"/>
          <w:left w:w="108" w:type="dxa"/>
          <w:bottom w:w="0" w:type="dxa"/>
          <w:right w:w="108" w:type="dxa"/>
        </w:tblCellMar>
      </w:tblPr>
      <w:tblGrid>
        <w:gridCol w:w="3113"/>
        <w:gridCol w:w="1875"/>
        <w:gridCol w:w="6"/>
        <w:gridCol w:w="1265"/>
        <w:gridCol w:w="1881"/>
      </w:tblGrid>
      <w:tr>
        <w:tblPrEx>
          <w:tblCellMar>
            <w:top w:w="0" w:type="dxa"/>
            <w:left w:w="108" w:type="dxa"/>
            <w:bottom w:w="0" w:type="dxa"/>
            <w:right w:w="108" w:type="dxa"/>
          </w:tblCellMar>
        </w:tblPrEx>
        <w:trPr>
          <w:trHeight w:val="495" w:hRule="atLeast"/>
          <w:jc w:val="center"/>
        </w:trPr>
        <w:tc>
          <w:tcPr>
            <w:tcW w:w="8140"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第二十条第（一）项</w:t>
            </w:r>
          </w:p>
        </w:tc>
      </w:tr>
      <w:tr>
        <w:tblPrEx>
          <w:tblCellMar>
            <w:top w:w="0" w:type="dxa"/>
            <w:left w:w="108" w:type="dxa"/>
            <w:bottom w:w="0" w:type="dxa"/>
            <w:right w:w="108" w:type="dxa"/>
          </w:tblCellMar>
        </w:tblPrEx>
        <w:trPr>
          <w:trHeight w:val="882" w:hRule="atLeast"/>
          <w:jc w:val="center"/>
        </w:trPr>
        <w:tc>
          <w:tcPr>
            <w:tcW w:w="3113"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信息内容</w:t>
            </w:r>
          </w:p>
        </w:tc>
        <w:tc>
          <w:tcPr>
            <w:tcW w:w="1875"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本年新</w:t>
            </w:r>
            <w:r>
              <w:rPr>
                <w:rFonts w:hint="eastAsia" w:ascii="微软雅黑" w:hAnsi="微软雅黑" w:eastAsia="微软雅黑" w:cs="微软雅黑"/>
                <w:color w:val="000000"/>
                <w:kern w:val="0"/>
                <w:sz w:val="21"/>
                <w:szCs w:val="21"/>
              </w:rPr>
              <w:br w:type="textWrapping"/>
            </w:r>
            <w:r>
              <w:rPr>
                <w:rFonts w:hint="eastAsia" w:ascii="微软雅黑" w:hAnsi="微软雅黑" w:eastAsia="微软雅黑" w:cs="微软雅黑"/>
                <w:kern w:val="0"/>
                <w:sz w:val="21"/>
                <w:szCs w:val="21"/>
              </w:rPr>
              <w:t>制作数量</w:t>
            </w:r>
          </w:p>
        </w:tc>
        <w:tc>
          <w:tcPr>
            <w:tcW w:w="1271"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本年新</w:t>
            </w:r>
            <w:r>
              <w:rPr>
                <w:rFonts w:hint="eastAsia" w:ascii="微软雅黑" w:hAnsi="微软雅黑" w:eastAsia="微软雅黑" w:cs="微软雅黑"/>
                <w:color w:val="000000"/>
                <w:kern w:val="0"/>
                <w:sz w:val="21"/>
                <w:szCs w:val="21"/>
              </w:rPr>
              <w:br w:type="textWrapping"/>
            </w:r>
            <w:r>
              <w:rPr>
                <w:rFonts w:hint="eastAsia" w:ascii="微软雅黑" w:hAnsi="微软雅黑" w:eastAsia="微软雅黑" w:cs="微软雅黑"/>
                <w:kern w:val="0"/>
                <w:sz w:val="21"/>
                <w:szCs w:val="21"/>
              </w:rPr>
              <w:t>公开数量</w:t>
            </w:r>
          </w:p>
        </w:tc>
        <w:tc>
          <w:tcPr>
            <w:tcW w:w="1881"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对外公开总数量</w:t>
            </w:r>
          </w:p>
        </w:tc>
      </w:tr>
      <w:tr>
        <w:tblPrEx>
          <w:tblCellMar>
            <w:top w:w="0" w:type="dxa"/>
            <w:left w:w="108" w:type="dxa"/>
            <w:bottom w:w="0" w:type="dxa"/>
            <w:right w:w="108" w:type="dxa"/>
          </w:tblCellMar>
        </w:tblPrEx>
        <w:trPr>
          <w:trHeight w:val="523" w:hRule="atLeast"/>
          <w:jc w:val="center"/>
        </w:trPr>
        <w:tc>
          <w:tcPr>
            <w:tcW w:w="3113"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规章</w:t>
            </w:r>
          </w:p>
        </w:tc>
        <w:tc>
          <w:tcPr>
            <w:tcW w:w="1875"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color w:val="000000"/>
                <w:kern w:val="0"/>
                <w:sz w:val="21"/>
                <w:szCs w:val="21"/>
                <w:lang w:val="en-US" w:eastAsia="zh-CN"/>
              </w:rPr>
              <w:t>0</w:t>
            </w:r>
          </w:p>
        </w:tc>
        <w:tc>
          <w:tcPr>
            <w:tcW w:w="1271"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color w:val="000000"/>
                <w:kern w:val="0"/>
                <w:sz w:val="21"/>
                <w:szCs w:val="21"/>
                <w:lang w:val="en-US" w:eastAsia="zh-CN"/>
              </w:rPr>
              <w:t>0</w:t>
            </w:r>
          </w:p>
        </w:tc>
        <w:tc>
          <w:tcPr>
            <w:tcW w:w="1881"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color w:val="000000"/>
                <w:kern w:val="0"/>
                <w:sz w:val="21"/>
                <w:szCs w:val="21"/>
                <w:lang w:val="en-US" w:eastAsia="zh-CN"/>
              </w:rPr>
              <w:t>0</w:t>
            </w:r>
          </w:p>
        </w:tc>
      </w:tr>
      <w:tr>
        <w:tblPrEx>
          <w:tblCellMar>
            <w:top w:w="0" w:type="dxa"/>
            <w:left w:w="108" w:type="dxa"/>
            <w:bottom w:w="0" w:type="dxa"/>
            <w:right w:w="108" w:type="dxa"/>
          </w:tblCellMar>
        </w:tblPrEx>
        <w:trPr>
          <w:trHeight w:val="471" w:hRule="atLeast"/>
          <w:jc w:val="center"/>
        </w:trPr>
        <w:tc>
          <w:tcPr>
            <w:tcW w:w="3113"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规范性文件</w:t>
            </w:r>
          </w:p>
        </w:tc>
        <w:tc>
          <w:tcPr>
            <w:tcW w:w="1875"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color w:val="000000"/>
                <w:kern w:val="0"/>
                <w:sz w:val="21"/>
                <w:szCs w:val="21"/>
                <w:lang w:val="en-US" w:eastAsia="zh-CN"/>
              </w:rPr>
              <w:t>0</w:t>
            </w:r>
          </w:p>
        </w:tc>
        <w:tc>
          <w:tcPr>
            <w:tcW w:w="1271" w:type="dxa"/>
            <w:gridSpan w:val="2"/>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color w:val="000000"/>
                <w:kern w:val="0"/>
                <w:sz w:val="21"/>
                <w:szCs w:val="21"/>
                <w:lang w:val="en-US" w:eastAsia="zh-CN"/>
              </w:rPr>
              <w:t>0</w:t>
            </w:r>
          </w:p>
        </w:tc>
        <w:tc>
          <w:tcPr>
            <w:tcW w:w="1881"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color w:val="000000"/>
                <w:kern w:val="0"/>
                <w:sz w:val="21"/>
                <w:szCs w:val="21"/>
                <w:lang w:val="en-US" w:eastAsia="zh-CN"/>
              </w:rPr>
              <w:t>0</w:t>
            </w:r>
          </w:p>
        </w:tc>
      </w:tr>
      <w:tr>
        <w:tblPrEx>
          <w:tblCellMar>
            <w:top w:w="0" w:type="dxa"/>
            <w:left w:w="108" w:type="dxa"/>
            <w:bottom w:w="0" w:type="dxa"/>
            <w:right w:w="108" w:type="dxa"/>
          </w:tblCellMar>
        </w:tblPrEx>
        <w:trPr>
          <w:trHeight w:val="480" w:hRule="atLeast"/>
          <w:jc w:val="center"/>
        </w:trPr>
        <w:tc>
          <w:tcPr>
            <w:tcW w:w="8140"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第二十条第（五）项</w:t>
            </w:r>
          </w:p>
        </w:tc>
      </w:tr>
      <w:tr>
        <w:tblPrEx>
          <w:tblCellMar>
            <w:top w:w="0" w:type="dxa"/>
            <w:left w:w="108" w:type="dxa"/>
            <w:bottom w:w="0" w:type="dxa"/>
            <w:right w:w="108" w:type="dxa"/>
          </w:tblCellMar>
        </w:tblPrEx>
        <w:trPr>
          <w:trHeight w:val="634" w:hRule="atLeast"/>
          <w:jc w:val="center"/>
        </w:trPr>
        <w:tc>
          <w:tcPr>
            <w:tcW w:w="3113"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信息内容</w:t>
            </w:r>
          </w:p>
        </w:tc>
        <w:tc>
          <w:tcPr>
            <w:tcW w:w="1875"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上一年项目数量</w:t>
            </w:r>
          </w:p>
        </w:tc>
        <w:tc>
          <w:tcPr>
            <w:tcW w:w="1271"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本年增/减</w:t>
            </w:r>
          </w:p>
        </w:tc>
        <w:tc>
          <w:tcPr>
            <w:tcW w:w="1881"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处理决定数量</w:t>
            </w:r>
          </w:p>
        </w:tc>
      </w:tr>
      <w:tr>
        <w:tblPrEx>
          <w:tblCellMar>
            <w:top w:w="0" w:type="dxa"/>
            <w:left w:w="108" w:type="dxa"/>
            <w:bottom w:w="0" w:type="dxa"/>
            <w:right w:w="108" w:type="dxa"/>
          </w:tblCellMar>
        </w:tblPrEx>
        <w:trPr>
          <w:trHeight w:val="528" w:hRule="atLeast"/>
          <w:jc w:val="center"/>
        </w:trPr>
        <w:tc>
          <w:tcPr>
            <w:tcW w:w="3113"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行政许可</w:t>
            </w:r>
          </w:p>
        </w:tc>
        <w:tc>
          <w:tcPr>
            <w:tcW w:w="1875"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color w:val="000000"/>
                <w:kern w:val="0"/>
                <w:sz w:val="21"/>
                <w:szCs w:val="21"/>
                <w:lang w:val="en-US" w:eastAsia="zh-CN"/>
              </w:rPr>
              <w:t>0</w:t>
            </w:r>
          </w:p>
        </w:tc>
        <w:tc>
          <w:tcPr>
            <w:tcW w:w="1271" w:type="dxa"/>
            <w:gridSpan w:val="2"/>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color w:val="000000"/>
                <w:kern w:val="0"/>
                <w:sz w:val="21"/>
                <w:szCs w:val="21"/>
                <w:lang w:val="en-US" w:eastAsia="zh-CN"/>
              </w:rPr>
              <w:t>0</w:t>
            </w:r>
          </w:p>
        </w:tc>
        <w:tc>
          <w:tcPr>
            <w:tcW w:w="1881"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color w:val="000000"/>
                <w:kern w:val="0"/>
                <w:sz w:val="21"/>
                <w:szCs w:val="21"/>
                <w:lang w:val="en-US" w:eastAsia="zh-CN"/>
              </w:rPr>
              <w:t>0</w:t>
            </w:r>
          </w:p>
        </w:tc>
      </w:tr>
      <w:tr>
        <w:tblPrEx>
          <w:tblCellMar>
            <w:top w:w="0" w:type="dxa"/>
            <w:left w:w="108" w:type="dxa"/>
            <w:bottom w:w="0" w:type="dxa"/>
            <w:right w:w="108" w:type="dxa"/>
          </w:tblCellMar>
        </w:tblPrEx>
        <w:trPr>
          <w:trHeight w:val="550" w:hRule="atLeast"/>
          <w:jc w:val="center"/>
        </w:trPr>
        <w:tc>
          <w:tcPr>
            <w:tcW w:w="3113"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其他对外管理服务事项</w:t>
            </w:r>
          </w:p>
        </w:tc>
        <w:tc>
          <w:tcPr>
            <w:tcW w:w="1875"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color w:val="000000"/>
                <w:kern w:val="0"/>
                <w:sz w:val="21"/>
                <w:szCs w:val="21"/>
                <w:lang w:val="en-US" w:eastAsia="zh-CN"/>
              </w:rPr>
              <w:t>0</w:t>
            </w:r>
          </w:p>
        </w:tc>
        <w:tc>
          <w:tcPr>
            <w:tcW w:w="1271" w:type="dxa"/>
            <w:gridSpan w:val="2"/>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color w:val="000000"/>
                <w:kern w:val="0"/>
                <w:sz w:val="21"/>
                <w:szCs w:val="21"/>
                <w:lang w:val="en-US" w:eastAsia="zh-CN"/>
              </w:rPr>
              <w:t>0</w:t>
            </w:r>
          </w:p>
        </w:tc>
        <w:tc>
          <w:tcPr>
            <w:tcW w:w="1881"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color w:val="000000"/>
                <w:kern w:val="0"/>
                <w:sz w:val="21"/>
                <w:szCs w:val="21"/>
                <w:lang w:val="en-US" w:eastAsia="zh-CN"/>
              </w:rPr>
              <w:t>0</w:t>
            </w:r>
          </w:p>
        </w:tc>
      </w:tr>
      <w:tr>
        <w:tblPrEx>
          <w:tblCellMar>
            <w:top w:w="0" w:type="dxa"/>
            <w:left w:w="108" w:type="dxa"/>
            <w:bottom w:w="0" w:type="dxa"/>
            <w:right w:w="108" w:type="dxa"/>
          </w:tblCellMar>
        </w:tblPrEx>
        <w:trPr>
          <w:trHeight w:val="406" w:hRule="atLeast"/>
          <w:jc w:val="center"/>
        </w:trPr>
        <w:tc>
          <w:tcPr>
            <w:tcW w:w="8140"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第二十条第（六）项</w:t>
            </w:r>
          </w:p>
        </w:tc>
      </w:tr>
      <w:tr>
        <w:tblPrEx>
          <w:tblCellMar>
            <w:top w:w="0" w:type="dxa"/>
            <w:left w:w="108" w:type="dxa"/>
            <w:bottom w:w="0" w:type="dxa"/>
            <w:right w:w="108" w:type="dxa"/>
          </w:tblCellMar>
        </w:tblPrEx>
        <w:trPr>
          <w:trHeight w:val="634" w:hRule="atLeast"/>
          <w:jc w:val="center"/>
        </w:trPr>
        <w:tc>
          <w:tcPr>
            <w:tcW w:w="3113"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信息内容</w:t>
            </w:r>
          </w:p>
        </w:tc>
        <w:tc>
          <w:tcPr>
            <w:tcW w:w="1875"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上一年项目数量</w:t>
            </w:r>
          </w:p>
        </w:tc>
        <w:tc>
          <w:tcPr>
            <w:tcW w:w="1271"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本年增/减</w:t>
            </w:r>
          </w:p>
        </w:tc>
        <w:tc>
          <w:tcPr>
            <w:tcW w:w="1881"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处理决定数量</w:t>
            </w:r>
          </w:p>
        </w:tc>
      </w:tr>
      <w:tr>
        <w:tblPrEx>
          <w:tblCellMar>
            <w:top w:w="0" w:type="dxa"/>
            <w:left w:w="108" w:type="dxa"/>
            <w:bottom w:w="0" w:type="dxa"/>
            <w:right w:w="108" w:type="dxa"/>
          </w:tblCellMar>
        </w:tblPrEx>
        <w:trPr>
          <w:trHeight w:val="430" w:hRule="atLeast"/>
          <w:jc w:val="center"/>
        </w:trPr>
        <w:tc>
          <w:tcPr>
            <w:tcW w:w="3113"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行政处罚</w:t>
            </w:r>
          </w:p>
        </w:tc>
        <w:tc>
          <w:tcPr>
            <w:tcW w:w="1881"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2</w:t>
            </w:r>
          </w:p>
        </w:tc>
        <w:tc>
          <w:tcPr>
            <w:tcW w:w="1265"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+1</w:t>
            </w:r>
          </w:p>
        </w:tc>
        <w:tc>
          <w:tcPr>
            <w:tcW w:w="1881"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default"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11</w:t>
            </w:r>
          </w:p>
        </w:tc>
      </w:tr>
      <w:tr>
        <w:tblPrEx>
          <w:tblCellMar>
            <w:top w:w="0" w:type="dxa"/>
            <w:left w:w="108" w:type="dxa"/>
            <w:bottom w:w="0" w:type="dxa"/>
            <w:right w:w="108" w:type="dxa"/>
          </w:tblCellMar>
        </w:tblPrEx>
        <w:trPr>
          <w:trHeight w:val="409" w:hRule="atLeast"/>
          <w:jc w:val="center"/>
        </w:trPr>
        <w:tc>
          <w:tcPr>
            <w:tcW w:w="3113"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行政强制</w:t>
            </w:r>
          </w:p>
        </w:tc>
        <w:tc>
          <w:tcPr>
            <w:tcW w:w="1881" w:type="dxa"/>
            <w:gridSpan w:val="2"/>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color w:val="000000"/>
                <w:kern w:val="0"/>
                <w:sz w:val="21"/>
                <w:szCs w:val="21"/>
                <w:lang w:val="en-US" w:eastAsia="zh-CN"/>
              </w:rPr>
              <w:t>0</w:t>
            </w:r>
          </w:p>
        </w:tc>
        <w:tc>
          <w:tcPr>
            <w:tcW w:w="1265"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color w:val="000000"/>
                <w:kern w:val="0"/>
                <w:sz w:val="21"/>
                <w:szCs w:val="21"/>
                <w:lang w:val="en-US" w:eastAsia="zh-CN"/>
              </w:rPr>
              <w:t>0</w:t>
            </w:r>
          </w:p>
        </w:tc>
        <w:tc>
          <w:tcPr>
            <w:tcW w:w="1881"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color w:val="000000"/>
                <w:kern w:val="0"/>
                <w:sz w:val="21"/>
                <w:szCs w:val="21"/>
                <w:lang w:val="en-US" w:eastAsia="zh-CN"/>
              </w:rPr>
              <w:t>0</w:t>
            </w:r>
          </w:p>
        </w:tc>
      </w:tr>
      <w:tr>
        <w:tblPrEx>
          <w:tblCellMar>
            <w:top w:w="0" w:type="dxa"/>
            <w:left w:w="108" w:type="dxa"/>
            <w:bottom w:w="0" w:type="dxa"/>
            <w:right w:w="108" w:type="dxa"/>
          </w:tblCellMar>
        </w:tblPrEx>
        <w:trPr>
          <w:trHeight w:val="474" w:hRule="atLeast"/>
          <w:jc w:val="center"/>
        </w:trPr>
        <w:tc>
          <w:tcPr>
            <w:tcW w:w="8140"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第二十条第（八）项</w:t>
            </w:r>
          </w:p>
        </w:tc>
      </w:tr>
      <w:tr>
        <w:tblPrEx>
          <w:tblCellMar>
            <w:top w:w="0" w:type="dxa"/>
            <w:left w:w="108" w:type="dxa"/>
            <w:bottom w:w="0" w:type="dxa"/>
            <w:right w:w="108" w:type="dxa"/>
          </w:tblCellMar>
        </w:tblPrEx>
        <w:trPr>
          <w:trHeight w:val="270" w:hRule="atLeast"/>
          <w:jc w:val="center"/>
        </w:trPr>
        <w:tc>
          <w:tcPr>
            <w:tcW w:w="3113"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信息内容</w:t>
            </w:r>
          </w:p>
        </w:tc>
        <w:tc>
          <w:tcPr>
            <w:tcW w:w="1881" w:type="dxa"/>
            <w:gridSpan w:val="2"/>
            <w:tcBorders>
              <w:top w:val="nil"/>
              <w:left w:val="nil"/>
              <w:bottom w:val="single" w:color="auto" w:sz="4" w:space="0"/>
              <w:right w:val="single" w:color="auto" w:sz="4" w:space="0"/>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上一年项目数量</w:t>
            </w:r>
          </w:p>
        </w:tc>
        <w:tc>
          <w:tcPr>
            <w:tcW w:w="3146" w:type="dxa"/>
            <w:gridSpan w:val="2"/>
            <w:tcBorders>
              <w:top w:val="single" w:color="auto" w:sz="4" w:space="0"/>
              <w:left w:val="nil"/>
              <w:bottom w:val="single" w:color="auto" w:sz="4" w:space="0"/>
              <w:right w:val="single" w:color="000000"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本年增/减</w:t>
            </w:r>
          </w:p>
        </w:tc>
      </w:tr>
      <w:tr>
        <w:tblPrEx>
          <w:tblCellMar>
            <w:top w:w="0" w:type="dxa"/>
            <w:left w:w="108" w:type="dxa"/>
            <w:bottom w:w="0" w:type="dxa"/>
            <w:right w:w="108" w:type="dxa"/>
          </w:tblCellMar>
        </w:tblPrEx>
        <w:trPr>
          <w:trHeight w:val="551" w:hRule="atLeast"/>
          <w:jc w:val="center"/>
        </w:trPr>
        <w:tc>
          <w:tcPr>
            <w:tcW w:w="3113"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行政事业性收费</w:t>
            </w:r>
          </w:p>
        </w:tc>
        <w:tc>
          <w:tcPr>
            <w:tcW w:w="1881" w:type="dxa"/>
            <w:gridSpan w:val="2"/>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2</w:t>
            </w:r>
          </w:p>
        </w:tc>
        <w:tc>
          <w:tcPr>
            <w:tcW w:w="3146" w:type="dxa"/>
            <w:gridSpan w:val="2"/>
            <w:tcBorders>
              <w:top w:val="single" w:color="auto" w:sz="4" w:space="0"/>
              <w:left w:val="nil"/>
              <w:bottom w:val="single" w:color="auto" w:sz="4" w:space="0"/>
              <w:right w:val="single" w:color="000000"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0</w:t>
            </w:r>
          </w:p>
        </w:tc>
      </w:tr>
      <w:tr>
        <w:tblPrEx>
          <w:tblCellMar>
            <w:top w:w="0" w:type="dxa"/>
            <w:left w:w="108" w:type="dxa"/>
            <w:bottom w:w="0" w:type="dxa"/>
            <w:right w:w="108" w:type="dxa"/>
          </w:tblCellMar>
        </w:tblPrEx>
        <w:trPr>
          <w:trHeight w:val="476" w:hRule="atLeast"/>
          <w:jc w:val="center"/>
        </w:trPr>
        <w:tc>
          <w:tcPr>
            <w:tcW w:w="8140"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第二十条第（九）项</w:t>
            </w:r>
          </w:p>
        </w:tc>
      </w:tr>
      <w:tr>
        <w:tblPrEx>
          <w:tblCellMar>
            <w:top w:w="0" w:type="dxa"/>
            <w:left w:w="108" w:type="dxa"/>
            <w:bottom w:w="0" w:type="dxa"/>
            <w:right w:w="108" w:type="dxa"/>
          </w:tblCellMar>
        </w:tblPrEx>
        <w:trPr>
          <w:trHeight w:val="585" w:hRule="atLeast"/>
          <w:jc w:val="center"/>
        </w:trPr>
        <w:tc>
          <w:tcPr>
            <w:tcW w:w="3113"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信息内容</w:t>
            </w:r>
          </w:p>
        </w:tc>
        <w:tc>
          <w:tcPr>
            <w:tcW w:w="1881" w:type="dxa"/>
            <w:gridSpan w:val="2"/>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采购项目数量</w:t>
            </w:r>
          </w:p>
        </w:tc>
        <w:tc>
          <w:tcPr>
            <w:tcW w:w="3146" w:type="dxa"/>
            <w:gridSpan w:val="2"/>
            <w:tcBorders>
              <w:top w:val="single" w:color="auto" w:sz="4" w:space="0"/>
              <w:left w:val="nil"/>
              <w:bottom w:val="single" w:color="auto" w:sz="4" w:space="0"/>
              <w:right w:val="single" w:color="000000"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采购总金额</w:t>
            </w:r>
          </w:p>
        </w:tc>
      </w:tr>
      <w:tr>
        <w:tblPrEx>
          <w:tblCellMar>
            <w:top w:w="0" w:type="dxa"/>
            <w:left w:w="108" w:type="dxa"/>
            <w:bottom w:w="0" w:type="dxa"/>
            <w:right w:w="108" w:type="dxa"/>
          </w:tblCellMar>
        </w:tblPrEx>
        <w:trPr>
          <w:trHeight w:val="539" w:hRule="atLeast"/>
          <w:jc w:val="center"/>
        </w:trPr>
        <w:tc>
          <w:tcPr>
            <w:tcW w:w="3113"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政府集中采购</w:t>
            </w:r>
          </w:p>
        </w:tc>
        <w:tc>
          <w:tcPr>
            <w:tcW w:w="1881" w:type="dxa"/>
            <w:gridSpan w:val="2"/>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color w:val="000000"/>
                <w:kern w:val="0"/>
                <w:sz w:val="21"/>
                <w:szCs w:val="21"/>
                <w:lang w:val="en-US" w:eastAsia="zh-CN"/>
              </w:rPr>
              <w:t>0</w:t>
            </w:r>
          </w:p>
        </w:tc>
        <w:tc>
          <w:tcPr>
            <w:tcW w:w="3146"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0</w:t>
            </w:r>
          </w:p>
        </w:tc>
      </w:tr>
    </w:tbl>
    <w:p>
      <w:pPr>
        <w:widowControl/>
        <w:ind w:firstLine="480"/>
        <w:rPr>
          <w:rFonts w:hint="eastAsia" w:ascii="微软雅黑" w:hAnsi="微软雅黑" w:eastAsia="微软雅黑" w:cs="微软雅黑"/>
          <w:kern w:val="0"/>
          <w:sz w:val="21"/>
          <w:szCs w:val="21"/>
        </w:rPr>
      </w:pPr>
    </w:p>
    <w:p>
      <w:pPr>
        <w:widowControl/>
        <w:spacing w:after="240"/>
        <w:ind w:firstLine="480"/>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三、收到和处理政府信息公开申请情况</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restart"/>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（本列数据的勾稽关系为：第一项加第二项之和，等于第三项加第四项之和）</w:t>
            </w:r>
          </w:p>
        </w:tc>
        <w:tc>
          <w:tcPr>
            <w:tcW w:w="5592" w:type="dxa"/>
            <w:gridSpan w:val="7"/>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vAlign w:val="center"/>
          </w:tcPr>
          <w:p>
            <w:pPr>
              <w:widowControl/>
              <w:jc w:val="left"/>
              <w:rPr>
                <w:rFonts w:hint="eastAsia" w:ascii="微软雅黑" w:hAnsi="微软雅黑" w:eastAsia="微软雅黑" w:cs="微软雅黑"/>
                <w:kern w:val="0"/>
                <w:sz w:val="21"/>
                <w:szCs w:val="21"/>
              </w:rPr>
            </w:pPr>
          </w:p>
        </w:tc>
        <w:tc>
          <w:tcPr>
            <w:tcW w:w="825" w:type="dxa"/>
            <w:vMerge w:val="restart"/>
            <w:tcBorders>
              <w:top w:val="nil"/>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自然人</w:t>
            </w:r>
          </w:p>
        </w:tc>
        <w:tc>
          <w:tcPr>
            <w:tcW w:w="4065" w:type="dxa"/>
            <w:gridSpan w:val="5"/>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法人或其他组织</w:t>
            </w:r>
          </w:p>
        </w:tc>
        <w:tc>
          <w:tcPr>
            <w:tcW w:w="702" w:type="dxa"/>
            <w:vMerge w:val="restart"/>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vAlign w:val="center"/>
          </w:tcPr>
          <w:p>
            <w:pPr>
              <w:widowControl/>
              <w:jc w:val="left"/>
              <w:rPr>
                <w:rFonts w:hint="eastAsia" w:ascii="微软雅黑" w:hAnsi="微软雅黑" w:eastAsia="微软雅黑" w:cs="微软雅黑"/>
                <w:kern w:val="0"/>
                <w:sz w:val="21"/>
                <w:szCs w:val="21"/>
              </w:rPr>
            </w:pPr>
          </w:p>
        </w:tc>
        <w:tc>
          <w:tcPr>
            <w:tcW w:w="825" w:type="dxa"/>
            <w:vMerge w:val="continue"/>
            <w:tcBorders>
              <w:top w:val="nil"/>
              <w:left w:val="nil"/>
            </w:tcBorders>
            <w:vAlign w:val="center"/>
          </w:tcPr>
          <w:p>
            <w:pPr>
              <w:widowControl/>
              <w:jc w:val="left"/>
              <w:rPr>
                <w:rFonts w:hint="eastAsia" w:ascii="微软雅黑" w:hAnsi="微软雅黑" w:eastAsia="微软雅黑" w:cs="微软雅黑"/>
                <w:kern w:val="0"/>
                <w:sz w:val="21"/>
                <w:szCs w:val="21"/>
              </w:rPr>
            </w:pP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商业企业</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科研机构</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社会公益组织</w:t>
            </w:r>
          </w:p>
        </w:tc>
        <w:tc>
          <w:tcPr>
            <w:tcW w:w="99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法律服务机构</w:t>
            </w:r>
          </w:p>
        </w:tc>
        <w:tc>
          <w:tcPr>
            <w:tcW w:w="72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其他</w:t>
            </w:r>
          </w:p>
        </w:tc>
        <w:tc>
          <w:tcPr>
            <w:tcW w:w="702" w:type="dxa"/>
            <w:vMerge w:val="continue"/>
            <w:tcBorders>
              <w:left w:val="nil"/>
            </w:tcBorders>
            <w:vAlign w:val="center"/>
          </w:tcPr>
          <w:p>
            <w:pPr>
              <w:widowControl/>
              <w:jc w:val="left"/>
              <w:rPr>
                <w:rFonts w:hint="eastAsia" w:ascii="微软雅黑" w:hAnsi="微软雅黑" w:eastAsia="微软雅黑" w:cs="微软雅黑"/>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一、本年新收政府信息公开申请数量</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 </w:t>
            </w:r>
          </w:p>
        </w:tc>
        <w:tc>
          <w:tcPr>
            <w:tcW w:w="99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c>
          <w:tcPr>
            <w:tcW w:w="72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c>
          <w:tcPr>
            <w:tcW w:w="702"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二、上年结转政府信息公开申请数量</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 </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 </w:t>
            </w:r>
          </w:p>
        </w:tc>
        <w:tc>
          <w:tcPr>
            <w:tcW w:w="99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 </w:t>
            </w:r>
          </w:p>
        </w:tc>
        <w:tc>
          <w:tcPr>
            <w:tcW w:w="72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 </w:t>
            </w:r>
          </w:p>
        </w:tc>
        <w:tc>
          <w:tcPr>
            <w:tcW w:w="702"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restart"/>
            <w:tcBorders>
              <w:top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三、本年度办理结果</w:t>
            </w:r>
          </w:p>
        </w:tc>
        <w:tc>
          <w:tcPr>
            <w:tcW w:w="2985" w:type="dxa"/>
            <w:gridSpan w:val="2"/>
            <w:tcBorders>
              <w:left w:val="nil"/>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（一）予以公开</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99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2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02"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hint="eastAsia" w:ascii="微软雅黑" w:hAnsi="微软雅黑" w:eastAsia="微软雅黑" w:cs="微软雅黑"/>
                <w:kern w:val="0"/>
                <w:sz w:val="21"/>
                <w:szCs w:val="21"/>
              </w:rPr>
            </w:pPr>
          </w:p>
        </w:tc>
        <w:tc>
          <w:tcPr>
            <w:tcW w:w="2985" w:type="dxa"/>
            <w:gridSpan w:val="2"/>
            <w:tcBorders>
              <w:left w:val="nil"/>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（二）部分公开（区分处理的，只计这一情形，不计其他情形）</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99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2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02"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hint="eastAsia" w:ascii="微软雅黑" w:hAnsi="微软雅黑" w:eastAsia="微软雅黑" w:cs="微软雅黑"/>
                <w:kern w:val="0"/>
                <w:sz w:val="21"/>
                <w:szCs w:val="21"/>
              </w:rPr>
            </w:pPr>
          </w:p>
        </w:tc>
        <w:tc>
          <w:tcPr>
            <w:tcW w:w="855" w:type="dxa"/>
            <w:vMerge w:val="restart"/>
            <w:tcBorders>
              <w:top w:val="nil"/>
              <w:left w:val="nil"/>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（三）不予公开</w:t>
            </w:r>
          </w:p>
        </w:tc>
        <w:tc>
          <w:tcPr>
            <w:tcW w:w="2130" w:type="dxa"/>
            <w:tcBorders>
              <w:left w:val="nil"/>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1.属于国家秘密</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99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2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02"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hint="eastAsia" w:ascii="微软雅黑" w:hAnsi="微软雅黑" w:eastAsia="微软雅黑" w:cs="微软雅黑"/>
                <w:kern w:val="0"/>
                <w:sz w:val="21"/>
                <w:szCs w:val="21"/>
              </w:rPr>
            </w:pPr>
          </w:p>
        </w:tc>
        <w:tc>
          <w:tcPr>
            <w:tcW w:w="855" w:type="dxa"/>
            <w:vMerge w:val="continue"/>
            <w:tcBorders>
              <w:top w:val="nil"/>
              <w:left w:val="nil"/>
            </w:tcBorders>
            <w:vAlign w:val="center"/>
          </w:tcPr>
          <w:p>
            <w:pPr>
              <w:widowControl/>
              <w:jc w:val="left"/>
              <w:rPr>
                <w:rFonts w:hint="eastAsia" w:ascii="微软雅黑" w:hAnsi="微软雅黑" w:eastAsia="微软雅黑" w:cs="微软雅黑"/>
                <w:kern w:val="0"/>
                <w:sz w:val="21"/>
                <w:szCs w:val="21"/>
              </w:rPr>
            </w:pPr>
          </w:p>
        </w:tc>
        <w:tc>
          <w:tcPr>
            <w:tcW w:w="2130" w:type="dxa"/>
            <w:tcBorders>
              <w:left w:val="nil"/>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2.其他法律行政法规禁止公开</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99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2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02"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hint="eastAsia" w:ascii="微软雅黑" w:hAnsi="微软雅黑" w:eastAsia="微软雅黑" w:cs="微软雅黑"/>
                <w:kern w:val="0"/>
                <w:sz w:val="21"/>
                <w:szCs w:val="21"/>
              </w:rPr>
            </w:pPr>
          </w:p>
        </w:tc>
        <w:tc>
          <w:tcPr>
            <w:tcW w:w="855" w:type="dxa"/>
            <w:vMerge w:val="continue"/>
            <w:tcBorders>
              <w:top w:val="nil"/>
              <w:left w:val="nil"/>
            </w:tcBorders>
            <w:vAlign w:val="center"/>
          </w:tcPr>
          <w:p>
            <w:pPr>
              <w:widowControl/>
              <w:jc w:val="left"/>
              <w:rPr>
                <w:rFonts w:hint="eastAsia" w:ascii="微软雅黑" w:hAnsi="微软雅黑" w:eastAsia="微软雅黑" w:cs="微软雅黑"/>
                <w:kern w:val="0"/>
                <w:sz w:val="21"/>
                <w:szCs w:val="21"/>
              </w:rPr>
            </w:pPr>
          </w:p>
        </w:tc>
        <w:tc>
          <w:tcPr>
            <w:tcW w:w="2130" w:type="dxa"/>
            <w:tcBorders>
              <w:left w:val="nil"/>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3.危及“三安全一稳定”</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99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2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02"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hint="eastAsia" w:ascii="微软雅黑" w:hAnsi="微软雅黑" w:eastAsia="微软雅黑" w:cs="微软雅黑"/>
                <w:kern w:val="0"/>
                <w:sz w:val="21"/>
                <w:szCs w:val="21"/>
              </w:rPr>
            </w:pPr>
          </w:p>
        </w:tc>
        <w:tc>
          <w:tcPr>
            <w:tcW w:w="855" w:type="dxa"/>
            <w:vMerge w:val="continue"/>
            <w:tcBorders>
              <w:top w:val="nil"/>
              <w:left w:val="nil"/>
            </w:tcBorders>
            <w:vAlign w:val="center"/>
          </w:tcPr>
          <w:p>
            <w:pPr>
              <w:widowControl/>
              <w:jc w:val="left"/>
              <w:rPr>
                <w:rFonts w:hint="eastAsia" w:ascii="微软雅黑" w:hAnsi="微软雅黑" w:eastAsia="微软雅黑" w:cs="微软雅黑"/>
                <w:kern w:val="0"/>
                <w:sz w:val="21"/>
                <w:szCs w:val="21"/>
              </w:rPr>
            </w:pPr>
          </w:p>
        </w:tc>
        <w:tc>
          <w:tcPr>
            <w:tcW w:w="2130" w:type="dxa"/>
            <w:tcBorders>
              <w:left w:val="nil"/>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4.保护第三方合法权益</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99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2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02"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hint="eastAsia" w:ascii="微软雅黑" w:hAnsi="微软雅黑" w:eastAsia="微软雅黑" w:cs="微软雅黑"/>
                <w:kern w:val="0"/>
                <w:sz w:val="21"/>
                <w:szCs w:val="21"/>
              </w:rPr>
            </w:pPr>
          </w:p>
        </w:tc>
        <w:tc>
          <w:tcPr>
            <w:tcW w:w="855" w:type="dxa"/>
            <w:vMerge w:val="continue"/>
            <w:tcBorders>
              <w:top w:val="nil"/>
              <w:left w:val="nil"/>
            </w:tcBorders>
            <w:vAlign w:val="center"/>
          </w:tcPr>
          <w:p>
            <w:pPr>
              <w:widowControl/>
              <w:jc w:val="left"/>
              <w:rPr>
                <w:rFonts w:hint="eastAsia" w:ascii="微软雅黑" w:hAnsi="微软雅黑" w:eastAsia="微软雅黑" w:cs="微软雅黑"/>
                <w:kern w:val="0"/>
                <w:sz w:val="21"/>
                <w:szCs w:val="21"/>
              </w:rPr>
            </w:pPr>
          </w:p>
        </w:tc>
        <w:tc>
          <w:tcPr>
            <w:tcW w:w="2130" w:type="dxa"/>
            <w:tcBorders>
              <w:left w:val="nil"/>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5.属于三类内部事务信息</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99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2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02"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hint="eastAsia" w:ascii="微软雅黑" w:hAnsi="微软雅黑" w:eastAsia="微软雅黑" w:cs="微软雅黑"/>
                <w:kern w:val="0"/>
                <w:sz w:val="21"/>
                <w:szCs w:val="21"/>
              </w:rPr>
            </w:pPr>
          </w:p>
        </w:tc>
        <w:tc>
          <w:tcPr>
            <w:tcW w:w="855" w:type="dxa"/>
            <w:vMerge w:val="continue"/>
            <w:tcBorders>
              <w:top w:val="nil"/>
              <w:left w:val="nil"/>
            </w:tcBorders>
            <w:vAlign w:val="center"/>
          </w:tcPr>
          <w:p>
            <w:pPr>
              <w:widowControl/>
              <w:jc w:val="left"/>
              <w:rPr>
                <w:rFonts w:hint="eastAsia" w:ascii="微软雅黑" w:hAnsi="微软雅黑" w:eastAsia="微软雅黑" w:cs="微软雅黑"/>
                <w:kern w:val="0"/>
                <w:sz w:val="21"/>
                <w:szCs w:val="21"/>
              </w:rPr>
            </w:pPr>
          </w:p>
        </w:tc>
        <w:tc>
          <w:tcPr>
            <w:tcW w:w="2130" w:type="dxa"/>
            <w:tcBorders>
              <w:left w:val="nil"/>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6.属于四类过程性信息</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99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2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02"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hint="eastAsia" w:ascii="微软雅黑" w:hAnsi="微软雅黑" w:eastAsia="微软雅黑" w:cs="微软雅黑"/>
                <w:kern w:val="0"/>
                <w:sz w:val="21"/>
                <w:szCs w:val="21"/>
              </w:rPr>
            </w:pPr>
          </w:p>
        </w:tc>
        <w:tc>
          <w:tcPr>
            <w:tcW w:w="855" w:type="dxa"/>
            <w:vMerge w:val="continue"/>
            <w:tcBorders>
              <w:top w:val="nil"/>
              <w:left w:val="nil"/>
            </w:tcBorders>
            <w:vAlign w:val="center"/>
          </w:tcPr>
          <w:p>
            <w:pPr>
              <w:widowControl/>
              <w:jc w:val="left"/>
              <w:rPr>
                <w:rFonts w:hint="eastAsia" w:ascii="微软雅黑" w:hAnsi="微软雅黑" w:eastAsia="微软雅黑" w:cs="微软雅黑"/>
                <w:kern w:val="0"/>
                <w:sz w:val="21"/>
                <w:szCs w:val="21"/>
              </w:rPr>
            </w:pPr>
          </w:p>
        </w:tc>
        <w:tc>
          <w:tcPr>
            <w:tcW w:w="2130" w:type="dxa"/>
            <w:tcBorders>
              <w:left w:val="nil"/>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7.属于行政执法案卷</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99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2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02"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hint="eastAsia" w:ascii="微软雅黑" w:hAnsi="微软雅黑" w:eastAsia="微软雅黑" w:cs="微软雅黑"/>
                <w:kern w:val="0"/>
                <w:sz w:val="21"/>
                <w:szCs w:val="21"/>
              </w:rPr>
            </w:pPr>
          </w:p>
        </w:tc>
        <w:tc>
          <w:tcPr>
            <w:tcW w:w="855" w:type="dxa"/>
            <w:vMerge w:val="continue"/>
            <w:tcBorders>
              <w:top w:val="nil"/>
              <w:left w:val="nil"/>
            </w:tcBorders>
            <w:vAlign w:val="center"/>
          </w:tcPr>
          <w:p>
            <w:pPr>
              <w:widowControl/>
              <w:jc w:val="left"/>
              <w:rPr>
                <w:rFonts w:hint="eastAsia" w:ascii="微软雅黑" w:hAnsi="微软雅黑" w:eastAsia="微软雅黑" w:cs="微软雅黑"/>
                <w:kern w:val="0"/>
                <w:sz w:val="21"/>
                <w:szCs w:val="21"/>
              </w:rPr>
            </w:pPr>
          </w:p>
        </w:tc>
        <w:tc>
          <w:tcPr>
            <w:tcW w:w="2130" w:type="dxa"/>
            <w:tcBorders>
              <w:left w:val="nil"/>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8.属于行政查询事项</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99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2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02"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hint="eastAsia" w:ascii="微软雅黑" w:hAnsi="微软雅黑" w:eastAsia="微软雅黑" w:cs="微软雅黑"/>
                <w:kern w:val="0"/>
                <w:sz w:val="21"/>
                <w:szCs w:val="21"/>
              </w:rPr>
            </w:pPr>
          </w:p>
        </w:tc>
        <w:tc>
          <w:tcPr>
            <w:tcW w:w="855" w:type="dxa"/>
            <w:vMerge w:val="restart"/>
            <w:tcBorders>
              <w:top w:val="nil"/>
              <w:left w:val="nil"/>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（四）无法提供</w:t>
            </w:r>
          </w:p>
        </w:tc>
        <w:tc>
          <w:tcPr>
            <w:tcW w:w="2130" w:type="dxa"/>
            <w:tcBorders>
              <w:left w:val="nil"/>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1.本机关不掌握相关政府信息</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99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2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02"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hint="eastAsia" w:ascii="微软雅黑" w:hAnsi="微软雅黑" w:eastAsia="微软雅黑" w:cs="微软雅黑"/>
                <w:kern w:val="0"/>
                <w:sz w:val="21"/>
                <w:szCs w:val="21"/>
              </w:rPr>
            </w:pPr>
          </w:p>
        </w:tc>
        <w:tc>
          <w:tcPr>
            <w:tcW w:w="855" w:type="dxa"/>
            <w:vMerge w:val="continue"/>
            <w:tcBorders>
              <w:top w:val="nil"/>
              <w:left w:val="nil"/>
            </w:tcBorders>
            <w:vAlign w:val="center"/>
          </w:tcPr>
          <w:p>
            <w:pPr>
              <w:widowControl/>
              <w:jc w:val="left"/>
              <w:rPr>
                <w:rFonts w:hint="eastAsia" w:ascii="微软雅黑" w:hAnsi="微软雅黑" w:eastAsia="微软雅黑" w:cs="微软雅黑"/>
                <w:kern w:val="0"/>
                <w:sz w:val="21"/>
                <w:szCs w:val="21"/>
              </w:rPr>
            </w:pPr>
          </w:p>
        </w:tc>
        <w:tc>
          <w:tcPr>
            <w:tcW w:w="2130" w:type="dxa"/>
            <w:tcBorders>
              <w:left w:val="nil"/>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2.没有现成信息需要另行制作</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99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2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02"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hint="eastAsia" w:ascii="微软雅黑" w:hAnsi="微软雅黑" w:eastAsia="微软雅黑" w:cs="微软雅黑"/>
                <w:kern w:val="0"/>
                <w:sz w:val="21"/>
                <w:szCs w:val="21"/>
              </w:rPr>
            </w:pPr>
          </w:p>
        </w:tc>
        <w:tc>
          <w:tcPr>
            <w:tcW w:w="855" w:type="dxa"/>
            <w:vMerge w:val="continue"/>
            <w:tcBorders>
              <w:top w:val="nil"/>
              <w:left w:val="nil"/>
            </w:tcBorders>
            <w:vAlign w:val="center"/>
          </w:tcPr>
          <w:p>
            <w:pPr>
              <w:widowControl/>
              <w:jc w:val="left"/>
              <w:rPr>
                <w:rFonts w:hint="eastAsia" w:ascii="微软雅黑" w:hAnsi="微软雅黑" w:eastAsia="微软雅黑" w:cs="微软雅黑"/>
                <w:kern w:val="0"/>
                <w:sz w:val="21"/>
                <w:szCs w:val="21"/>
              </w:rPr>
            </w:pPr>
          </w:p>
        </w:tc>
        <w:tc>
          <w:tcPr>
            <w:tcW w:w="2130" w:type="dxa"/>
            <w:tcBorders>
              <w:left w:val="nil"/>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3.补正后申请内容仍不明确</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99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2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02"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hint="eastAsia" w:ascii="微软雅黑" w:hAnsi="微软雅黑" w:eastAsia="微软雅黑" w:cs="微软雅黑"/>
                <w:kern w:val="0"/>
                <w:sz w:val="21"/>
                <w:szCs w:val="21"/>
              </w:rPr>
            </w:pPr>
          </w:p>
        </w:tc>
        <w:tc>
          <w:tcPr>
            <w:tcW w:w="855" w:type="dxa"/>
            <w:vMerge w:val="restart"/>
            <w:tcBorders>
              <w:top w:val="nil"/>
              <w:left w:val="nil"/>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（五）不予处理</w:t>
            </w:r>
          </w:p>
        </w:tc>
        <w:tc>
          <w:tcPr>
            <w:tcW w:w="2130" w:type="dxa"/>
            <w:tcBorders>
              <w:left w:val="nil"/>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1.信访举报投诉类申请</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99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2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02"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hint="eastAsia" w:ascii="微软雅黑" w:hAnsi="微软雅黑" w:eastAsia="微软雅黑" w:cs="微软雅黑"/>
                <w:kern w:val="0"/>
                <w:sz w:val="21"/>
                <w:szCs w:val="21"/>
              </w:rPr>
            </w:pPr>
          </w:p>
        </w:tc>
        <w:tc>
          <w:tcPr>
            <w:tcW w:w="855" w:type="dxa"/>
            <w:vMerge w:val="continue"/>
            <w:tcBorders>
              <w:top w:val="nil"/>
              <w:left w:val="nil"/>
            </w:tcBorders>
            <w:vAlign w:val="center"/>
          </w:tcPr>
          <w:p>
            <w:pPr>
              <w:widowControl/>
              <w:jc w:val="left"/>
              <w:rPr>
                <w:rFonts w:hint="eastAsia" w:ascii="微软雅黑" w:hAnsi="微软雅黑" w:eastAsia="微软雅黑" w:cs="微软雅黑"/>
                <w:kern w:val="0"/>
                <w:sz w:val="21"/>
                <w:szCs w:val="21"/>
              </w:rPr>
            </w:pPr>
          </w:p>
        </w:tc>
        <w:tc>
          <w:tcPr>
            <w:tcW w:w="2130" w:type="dxa"/>
            <w:tcBorders>
              <w:left w:val="nil"/>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2.重复申请</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99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2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02"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hint="eastAsia" w:ascii="微软雅黑" w:hAnsi="微软雅黑" w:eastAsia="微软雅黑" w:cs="微软雅黑"/>
                <w:kern w:val="0"/>
                <w:sz w:val="21"/>
                <w:szCs w:val="21"/>
              </w:rPr>
            </w:pPr>
          </w:p>
        </w:tc>
        <w:tc>
          <w:tcPr>
            <w:tcW w:w="855" w:type="dxa"/>
            <w:vMerge w:val="continue"/>
            <w:tcBorders>
              <w:top w:val="nil"/>
              <w:left w:val="nil"/>
            </w:tcBorders>
            <w:vAlign w:val="center"/>
          </w:tcPr>
          <w:p>
            <w:pPr>
              <w:widowControl/>
              <w:jc w:val="left"/>
              <w:rPr>
                <w:rFonts w:hint="eastAsia" w:ascii="微软雅黑" w:hAnsi="微软雅黑" w:eastAsia="微软雅黑" w:cs="微软雅黑"/>
                <w:kern w:val="0"/>
                <w:sz w:val="21"/>
                <w:szCs w:val="21"/>
              </w:rPr>
            </w:pPr>
          </w:p>
        </w:tc>
        <w:tc>
          <w:tcPr>
            <w:tcW w:w="2130" w:type="dxa"/>
            <w:tcBorders>
              <w:left w:val="nil"/>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3.要求提供公开出版物</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99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2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02"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hint="eastAsia" w:ascii="微软雅黑" w:hAnsi="微软雅黑" w:eastAsia="微软雅黑" w:cs="微软雅黑"/>
                <w:kern w:val="0"/>
                <w:sz w:val="21"/>
                <w:szCs w:val="21"/>
              </w:rPr>
            </w:pPr>
          </w:p>
        </w:tc>
        <w:tc>
          <w:tcPr>
            <w:tcW w:w="855" w:type="dxa"/>
            <w:vMerge w:val="continue"/>
            <w:tcBorders>
              <w:top w:val="nil"/>
              <w:left w:val="nil"/>
            </w:tcBorders>
            <w:vAlign w:val="center"/>
          </w:tcPr>
          <w:p>
            <w:pPr>
              <w:widowControl/>
              <w:jc w:val="left"/>
              <w:rPr>
                <w:rFonts w:hint="eastAsia" w:ascii="微软雅黑" w:hAnsi="微软雅黑" w:eastAsia="微软雅黑" w:cs="微软雅黑"/>
                <w:kern w:val="0"/>
                <w:sz w:val="21"/>
                <w:szCs w:val="21"/>
              </w:rPr>
            </w:pPr>
          </w:p>
        </w:tc>
        <w:tc>
          <w:tcPr>
            <w:tcW w:w="2130" w:type="dxa"/>
            <w:tcBorders>
              <w:left w:val="nil"/>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4.无正当理由大量反复申请</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99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2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02"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hint="eastAsia" w:ascii="微软雅黑" w:hAnsi="微软雅黑" w:eastAsia="微软雅黑" w:cs="微软雅黑"/>
                <w:kern w:val="0"/>
                <w:sz w:val="21"/>
                <w:szCs w:val="21"/>
              </w:rPr>
            </w:pPr>
          </w:p>
        </w:tc>
        <w:tc>
          <w:tcPr>
            <w:tcW w:w="855" w:type="dxa"/>
            <w:vMerge w:val="continue"/>
            <w:tcBorders>
              <w:top w:val="nil"/>
              <w:left w:val="nil"/>
            </w:tcBorders>
            <w:vAlign w:val="center"/>
          </w:tcPr>
          <w:p>
            <w:pPr>
              <w:widowControl/>
              <w:jc w:val="left"/>
              <w:rPr>
                <w:rFonts w:hint="eastAsia" w:ascii="微软雅黑" w:hAnsi="微软雅黑" w:eastAsia="微软雅黑" w:cs="微软雅黑"/>
                <w:kern w:val="0"/>
                <w:sz w:val="21"/>
                <w:szCs w:val="21"/>
              </w:rPr>
            </w:pPr>
          </w:p>
        </w:tc>
        <w:tc>
          <w:tcPr>
            <w:tcW w:w="2130" w:type="dxa"/>
            <w:tcBorders>
              <w:left w:val="nil"/>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5.要求行政机关确认或重新出具已获取信息</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99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2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02"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hint="eastAsia" w:ascii="微软雅黑" w:hAnsi="微软雅黑" w:eastAsia="微软雅黑" w:cs="微软雅黑"/>
                <w:kern w:val="0"/>
                <w:sz w:val="21"/>
                <w:szCs w:val="21"/>
              </w:rPr>
            </w:pPr>
          </w:p>
        </w:tc>
        <w:tc>
          <w:tcPr>
            <w:tcW w:w="2985" w:type="dxa"/>
            <w:gridSpan w:val="2"/>
            <w:tcBorders>
              <w:left w:val="nil"/>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（六）其他处理</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99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2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02"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hint="eastAsia" w:ascii="微软雅黑" w:hAnsi="微软雅黑" w:eastAsia="微软雅黑" w:cs="微软雅黑"/>
                <w:kern w:val="0"/>
                <w:sz w:val="21"/>
                <w:szCs w:val="21"/>
              </w:rPr>
            </w:pPr>
          </w:p>
        </w:tc>
        <w:tc>
          <w:tcPr>
            <w:tcW w:w="2985" w:type="dxa"/>
            <w:gridSpan w:val="2"/>
            <w:tcBorders>
              <w:left w:val="nil"/>
            </w:tcBorders>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（七）总计</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99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2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 </w:t>
            </w:r>
          </w:p>
        </w:tc>
        <w:tc>
          <w:tcPr>
            <w:tcW w:w="702"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Align w:val="center"/>
          </w:tcPr>
          <w:p>
            <w:pPr>
              <w:widowControl/>
              <w:spacing w:before="100" w:beforeAutospacing="1" w:after="100" w:afterAutospacing="1"/>
              <w:jc w:val="left"/>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四、结转下年度继续办理</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rPr>
              <w:t> </w:t>
            </w:r>
            <w:r>
              <w:rPr>
                <w:rFonts w:hint="eastAsia" w:ascii="微软雅黑" w:hAnsi="微软雅黑" w:eastAsia="微软雅黑" w:cs="微软雅黑"/>
                <w:sz w:val="21"/>
                <w:szCs w:val="21"/>
                <w:lang w:val="en-US" w:eastAsia="zh-CN"/>
              </w:rPr>
              <w:t>0</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 </w:t>
            </w:r>
          </w:p>
        </w:tc>
        <w:tc>
          <w:tcPr>
            <w:tcW w:w="76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 </w:t>
            </w:r>
          </w:p>
        </w:tc>
        <w:tc>
          <w:tcPr>
            <w:tcW w:w="82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 </w:t>
            </w:r>
          </w:p>
        </w:tc>
        <w:tc>
          <w:tcPr>
            <w:tcW w:w="99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 </w:t>
            </w:r>
          </w:p>
        </w:tc>
        <w:tc>
          <w:tcPr>
            <w:tcW w:w="72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 </w:t>
            </w:r>
          </w:p>
        </w:tc>
        <w:tc>
          <w:tcPr>
            <w:tcW w:w="702" w:type="dxa"/>
            <w:tcBorders>
              <w:left w:val="nil"/>
            </w:tcBorders>
            <w:vAlign w:val="center"/>
          </w:tcPr>
          <w:p>
            <w:pPr>
              <w:widowControl/>
              <w:ind w:firstLine="210" w:firstLineChars="100"/>
              <w:jc w:val="left"/>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0</w:t>
            </w:r>
          </w:p>
        </w:tc>
      </w:tr>
    </w:tbl>
    <w:p>
      <w:pPr>
        <w:widowControl/>
        <w:ind w:firstLine="480"/>
        <w:rPr>
          <w:rFonts w:hint="eastAsia" w:ascii="微软雅黑" w:hAnsi="微软雅黑" w:eastAsia="微软雅黑" w:cs="微软雅黑"/>
          <w:kern w:val="0"/>
          <w:sz w:val="21"/>
          <w:szCs w:val="21"/>
        </w:rPr>
      </w:pPr>
    </w:p>
    <w:p>
      <w:pPr>
        <w:widowControl/>
        <w:ind w:firstLine="480"/>
        <w:rPr>
          <w:rFonts w:hint="eastAsia" w:ascii="微软雅黑" w:hAnsi="微软雅黑" w:eastAsia="微软雅黑" w:cs="微软雅黑"/>
          <w:b/>
          <w:bCs/>
          <w:kern w:val="0"/>
          <w:sz w:val="21"/>
          <w:szCs w:val="21"/>
        </w:rPr>
      </w:pPr>
      <w:r>
        <w:rPr>
          <w:rFonts w:hint="eastAsia" w:ascii="微软雅黑" w:hAnsi="微软雅黑" w:eastAsia="微软雅黑" w:cs="微软雅黑"/>
          <w:b/>
          <w:bCs/>
          <w:kern w:val="0"/>
          <w:sz w:val="21"/>
          <w:szCs w:val="21"/>
        </w:rPr>
        <w:t>四、政府信息公开行政复议、行政诉讼情况</w:t>
      </w:r>
    </w:p>
    <w:tbl>
      <w:tblPr>
        <w:tblStyle w:val="5"/>
        <w:tblpPr w:leftFromText="180" w:rightFromText="180" w:vertAnchor="text" w:horzAnchor="page" w:tblpX="1518" w:tblpY="726"/>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4" w:type="dxa"/>
            <w:gridSpan w:val="5"/>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行政复议</w:t>
            </w:r>
          </w:p>
        </w:tc>
        <w:tc>
          <w:tcPr>
            <w:tcW w:w="5997" w:type="dxa"/>
            <w:gridSpan w:val="10"/>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Merge w:val="restart"/>
            <w:tcBorders>
              <w:top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结果维持</w:t>
            </w:r>
          </w:p>
        </w:tc>
        <w:tc>
          <w:tcPr>
            <w:tcW w:w="604" w:type="dxa"/>
            <w:vMerge w:val="restart"/>
            <w:tcBorders>
              <w:top w:val="nil"/>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结果纠正</w:t>
            </w:r>
          </w:p>
        </w:tc>
        <w:tc>
          <w:tcPr>
            <w:tcW w:w="604" w:type="dxa"/>
            <w:vMerge w:val="restart"/>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其他结果</w:t>
            </w:r>
          </w:p>
        </w:tc>
        <w:tc>
          <w:tcPr>
            <w:tcW w:w="604" w:type="dxa"/>
            <w:vMerge w:val="restart"/>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尚未审结</w:t>
            </w:r>
          </w:p>
        </w:tc>
        <w:tc>
          <w:tcPr>
            <w:tcW w:w="658" w:type="dxa"/>
            <w:vMerge w:val="restart"/>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总计</w:t>
            </w:r>
          </w:p>
        </w:tc>
        <w:tc>
          <w:tcPr>
            <w:tcW w:w="2970" w:type="dxa"/>
            <w:gridSpan w:val="5"/>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未经复议直接起诉</w:t>
            </w:r>
          </w:p>
        </w:tc>
        <w:tc>
          <w:tcPr>
            <w:tcW w:w="3027" w:type="dxa"/>
            <w:gridSpan w:val="5"/>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Merge w:val="continue"/>
            <w:tcBorders>
              <w:top w:val="nil"/>
            </w:tcBorders>
            <w:vAlign w:val="center"/>
          </w:tcPr>
          <w:p>
            <w:pPr>
              <w:widowControl/>
              <w:jc w:val="left"/>
              <w:rPr>
                <w:rFonts w:hint="eastAsia" w:ascii="微软雅黑" w:hAnsi="微软雅黑" w:eastAsia="微软雅黑" w:cs="微软雅黑"/>
                <w:kern w:val="0"/>
                <w:sz w:val="21"/>
                <w:szCs w:val="21"/>
              </w:rPr>
            </w:pPr>
          </w:p>
        </w:tc>
        <w:tc>
          <w:tcPr>
            <w:tcW w:w="604" w:type="dxa"/>
            <w:vMerge w:val="continue"/>
            <w:tcBorders>
              <w:top w:val="nil"/>
              <w:left w:val="nil"/>
            </w:tcBorders>
            <w:vAlign w:val="center"/>
          </w:tcPr>
          <w:p>
            <w:pPr>
              <w:widowControl/>
              <w:jc w:val="left"/>
              <w:rPr>
                <w:rFonts w:hint="eastAsia" w:ascii="微软雅黑" w:hAnsi="微软雅黑" w:eastAsia="微软雅黑" w:cs="微软雅黑"/>
                <w:kern w:val="0"/>
                <w:sz w:val="21"/>
                <w:szCs w:val="21"/>
              </w:rPr>
            </w:pPr>
          </w:p>
        </w:tc>
        <w:tc>
          <w:tcPr>
            <w:tcW w:w="604" w:type="dxa"/>
            <w:vMerge w:val="continue"/>
            <w:tcBorders>
              <w:left w:val="nil"/>
            </w:tcBorders>
            <w:vAlign w:val="center"/>
          </w:tcPr>
          <w:p>
            <w:pPr>
              <w:widowControl/>
              <w:jc w:val="left"/>
              <w:rPr>
                <w:rFonts w:hint="eastAsia" w:ascii="微软雅黑" w:hAnsi="微软雅黑" w:eastAsia="微软雅黑" w:cs="微软雅黑"/>
                <w:kern w:val="0"/>
                <w:sz w:val="21"/>
                <w:szCs w:val="21"/>
              </w:rPr>
            </w:pPr>
          </w:p>
        </w:tc>
        <w:tc>
          <w:tcPr>
            <w:tcW w:w="604" w:type="dxa"/>
            <w:vMerge w:val="continue"/>
            <w:tcBorders>
              <w:left w:val="nil"/>
            </w:tcBorders>
            <w:vAlign w:val="center"/>
          </w:tcPr>
          <w:p>
            <w:pPr>
              <w:widowControl/>
              <w:jc w:val="left"/>
              <w:rPr>
                <w:rFonts w:hint="eastAsia" w:ascii="微软雅黑" w:hAnsi="微软雅黑" w:eastAsia="微软雅黑" w:cs="微软雅黑"/>
                <w:kern w:val="0"/>
                <w:sz w:val="21"/>
                <w:szCs w:val="21"/>
              </w:rPr>
            </w:pPr>
          </w:p>
        </w:tc>
        <w:tc>
          <w:tcPr>
            <w:tcW w:w="658" w:type="dxa"/>
            <w:vMerge w:val="continue"/>
            <w:tcBorders>
              <w:left w:val="nil"/>
            </w:tcBorders>
            <w:vAlign w:val="center"/>
          </w:tcPr>
          <w:p>
            <w:pPr>
              <w:widowControl/>
              <w:jc w:val="left"/>
              <w:rPr>
                <w:rFonts w:hint="eastAsia" w:ascii="微软雅黑" w:hAnsi="微软雅黑" w:eastAsia="微软雅黑" w:cs="微软雅黑"/>
                <w:kern w:val="0"/>
                <w:sz w:val="21"/>
                <w:szCs w:val="21"/>
              </w:rPr>
            </w:pPr>
          </w:p>
        </w:tc>
        <w:tc>
          <w:tcPr>
            <w:tcW w:w="55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结果维持</w:t>
            </w:r>
          </w:p>
        </w:tc>
        <w:tc>
          <w:tcPr>
            <w:tcW w:w="60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结果纠正</w:t>
            </w:r>
          </w:p>
        </w:tc>
        <w:tc>
          <w:tcPr>
            <w:tcW w:w="60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其他结果</w:t>
            </w:r>
          </w:p>
        </w:tc>
        <w:tc>
          <w:tcPr>
            <w:tcW w:w="60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尚未审结</w:t>
            </w:r>
          </w:p>
        </w:tc>
        <w:tc>
          <w:tcPr>
            <w:tcW w:w="60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总计</w:t>
            </w:r>
          </w:p>
        </w:tc>
        <w:tc>
          <w:tcPr>
            <w:tcW w:w="60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结果维持</w:t>
            </w:r>
          </w:p>
        </w:tc>
        <w:tc>
          <w:tcPr>
            <w:tcW w:w="60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结果纠正</w:t>
            </w:r>
          </w:p>
        </w:tc>
        <w:tc>
          <w:tcPr>
            <w:tcW w:w="60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其他结果</w:t>
            </w:r>
          </w:p>
        </w:tc>
        <w:tc>
          <w:tcPr>
            <w:tcW w:w="606"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rPr>
              <w:t>尚未审结</w:t>
            </w:r>
          </w:p>
        </w:tc>
        <w:tc>
          <w:tcPr>
            <w:tcW w:w="606"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0</w:t>
            </w:r>
          </w:p>
        </w:tc>
        <w:tc>
          <w:tcPr>
            <w:tcW w:w="604"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lang w:val="en-US" w:eastAsia="zh-CN"/>
              </w:rPr>
              <w:t>0</w:t>
            </w:r>
          </w:p>
        </w:tc>
        <w:tc>
          <w:tcPr>
            <w:tcW w:w="604"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0</w:t>
            </w:r>
          </w:p>
        </w:tc>
        <w:tc>
          <w:tcPr>
            <w:tcW w:w="604"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0</w:t>
            </w:r>
          </w:p>
        </w:tc>
        <w:tc>
          <w:tcPr>
            <w:tcW w:w="658"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sz w:val="21"/>
                <w:szCs w:val="21"/>
                <w:lang w:val="en-US" w:eastAsia="zh-CN"/>
              </w:rPr>
              <w:t>0</w:t>
            </w:r>
          </w:p>
        </w:tc>
        <w:tc>
          <w:tcPr>
            <w:tcW w:w="550"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0</w:t>
            </w:r>
          </w:p>
        </w:tc>
        <w:tc>
          <w:tcPr>
            <w:tcW w:w="60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0</w:t>
            </w:r>
          </w:p>
        </w:tc>
        <w:tc>
          <w:tcPr>
            <w:tcW w:w="60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0</w:t>
            </w:r>
          </w:p>
        </w:tc>
        <w:tc>
          <w:tcPr>
            <w:tcW w:w="60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0</w:t>
            </w:r>
          </w:p>
        </w:tc>
        <w:tc>
          <w:tcPr>
            <w:tcW w:w="60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color w:val="000000"/>
                <w:kern w:val="0"/>
                <w:sz w:val="21"/>
                <w:szCs w:val="21"/>
                <w:lang w:val="en-US" w:eastAsia="zh-CN"/>
              </w:rPr>
              <w:t>0</w:t>
            </w:r>
          </w:p>
        </w:tc>
        <w:tc>
          <w:tcPr>
            <w:tcW w:w="60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0</w:t>
            </w:r>
          </w:p>
        </w:tc>
        <w:tc>
          <w:tcPr>
            <w:tcW w:w="60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0</w:t>
            </w:r>
          </w:p>
        </w:tc>
        <w:tc>
          <w:tcPr>
            <w:tcW w:w="605"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color w:val="000000"/>
                <w:kern w:val="0"/>
                <w:sz w:val="21"/>
                <w:szCs w:val="21"/>
                <w:lang w:val="en-US" w:eastAsia="zh-CN"/>
              </w:rPr>
              <w:t>0</w:t>
            </w:r>
          </w:p>
        </w:tc>
        <w:tc>
          <w:tcPr>
            <w:tcW w:w="606" w:type="dxa"/>
            <w:tcBorders>
              <w:left w:val="nil"/>
            </w:tcBorders>
            <w:vAlign w:val="center"/>
          </w:tcPr>
          <w:p>
            <w:pPr>
              <w:widowControl/>
              <w:spacing w:before="100" w:beforeAutospacing="1" w:after="100" w:afterAutospacing="1"/>
              <w:jc w:val="center"/>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0</w:t>
            </w:r>
          </w:p>
        </w:tc>
        <w:tc>
          <w:tcPr>
            <w:tcW w:w="606" w:type="dxa"/>
            <w:tcBorders>
              <w:left w:val="nil"/>
            </w:tcBorders>
            <w:vAlign w:val="center"/>
          </w:tcPr>
          <w:p>
            <w:pPr>
              <w:widowControl/>
              <w:jc w:val="center"/>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0</w:t>
            </w:r>
          </w:p>
        </w:tc>
      </w:tr>
    </w:tbl>
    <w:p>
      <w:pPr>
        <w:pStyle w:val="4"/>
        <w:widowControl/>
        <w:rPr>
          <w:rFonts w:ascii="微软雅黑" w:hAnsi="微软雅黑" w:eastAsia="微软雅黑" w:cs="微软雅黑"/>
          <w:b/>
          <w:bCs/>
          <w:sz w:val="21"/>
          <w:szCs w:val="21"/>
        </w:rPr>
      </w:pPr>
      <w:r>
        <w:rPr>
          <w:rFonts w:hint="eastAsia" w:ascii="微软雅黑" w:hAnsi="微软雅黑" w:eastAsia="微软雅黑" w:cs="微软雅黑"/>
          <w:sz w:val="21"/>
          <w:szCs w:val="21"/>
        </w:rPr>
        <w:t>　</w:t>
      </w:r>
      <w:r>
        <w:rPr>
          <w:rFonts w:hint="eastAsia" w:ascii="微软雅黑" w:hAnsi="微软雅黑" w:eastAsia="微软雅黑" w:cs="微软雅黑"/>
          <w:b/>
          <w:bCs/>
          <w:kern w:val="2"/>
          <w:sz w:val="21"/>
          <w:szCs w:val="21"/>
        </w:rPr>
        <w:t>五、存在的主要问题及改进情况</w:t>
      </w:r>
    </w:p>
    <w:p>
      <w:pPr>
        <w:spacing w:line="640" w:lineRule="exact"/>
        <w:ind w:firstLine="420" w:firstLineChars="200"/>
        <w:rPr>
          <w:rFonts w:ascii="微软雅黑" w:hAnsi="微软雅黑" w:eastAsia="微软雅黑" w:cs="微软雅黑"/>
          <w:color w:val="333333"/>
          <w:sz w:val="21"/>
          <w:szCs w:val="21"/>
          <w:shd w:val="clear" w:color="auto" w:fill="FFFFFF"/>
        </w:rPr>
      </w:pPr>
      <w:r>
        <w:rPr>
          <w:rFonts w:hint="eastAsia" w:ascii="微软雅黑" w:hAnsi="微软雅黑" w:eastAsia="微软雅黑" w:cs="微软雅黑"/>
          <w:color w:val="333333"/>
          <w:sz w:val="21"/>
          <w:szCs w:val="21"/>
          <w:shd w:val="clear" w:color="auto" w:fill="FFFFFF"/>
        </w:rPr>
        <w:t>2020年，我局政府信息公开工作取得了良好的成效，但仍存在一些问题。</w:t>
      </w:r>
      <w:r>
        <w:rPr>
          <w:rFonts w:hint="eastAsia" w:ascii="微软雅黑" w:hAnsi="微软雅黑" w:eastAsia="微软雅黑" w:cs="微软雅黑"/>
          <w:kern w:val="0"/>
          <w:sz w:val="21"/>
          <w:szCs w:val="21"/>
        </w:rPr>
        <w:t>一是政务信息公开工作尤其是在政策解读等信息公开方面需要进一步加强。二是</w:t>
      </w:r>
      <w:r>
        <w:rPr>
          <w:rFonts w:hint="eastAsia" w:ascii="微软雅黑" w:hAnsi="微软雅黑" w:eastAsia="微软雅黑" w:cs="微软雅黑"/>
          <w:color w:val="333333"/>
          <w:sz w:val="21"/>
          <w:szCs w:val="21"/>
          <w:shd w:val="clear" w:color="auto" w:fill="FFFFFF"/>
        </w:rPr>
        <w:t>由于人社业务工作种类繁多，</w:t>
      </w:r>
      <w:r>
        <w:rPr>
          <w:rFonts w:hint="eastAsia" w:ascii="微软雅黑" w:hAnsi="微软雅黑" w:eastAsia="微软雅黑" w:cs="微软雅黑"/>
          <w:kern w:val="0"/>
          <w:sz w:val="21"/>
          <w:szCs w:val="21"/>
        </w:rPr>
        <w:t>政务信息公开工作的广度、深度有待进一步加大。三是政务信息公开发布的质量、时效性还需要进一步提高。今后</w:t>
      </w:r>
      <w:r>
        <w:rPr>
          <w:rFonts w:hint="eastAsia" w:ascii="微软雅黑" w:hAnsi="微软雅黑" w:eastAsia="微软雅黑" w:cs="微软雅黑"/>
          <w:color w:val="333333"/>
          <w:sz w:val="21"/>
          <w:szCs w:val="21"/>
          <w:shd w:val="clear" w:color="auto" w:fill="FFFFFF"/>
        </w:rPr>
        <w:t>我局将进一步加强对政府信息公开工作的组织领导，认真制定切实可行的措施，继续做好政府信息公开工作：</w:t>
      </w:r>
      <w:r>
        <w:rPr>
          <w:rFonts w:hint="eastAsia" w:ascii="微软雅黑" w:hAnsi="微软雅黑" w:eastAsia="微软雅黑" w:cs="微软雅黑"/>
          <w:sz w:val="21"/>
          <w:szCs w:val="21"/>
        </w:rPr>
        <w:t>一是着力提升信息发布和政策解读的质量和影响。将政府信息公开工作和业务工作紧密结合，进一步充实信息公开内容，以社会需求为导向，选择民众关注度高的信息作为突破口，不断丰富信息公开的内容。聚焦社会关注的热点、焦点问题，抓准关键点和重大问题，努力提升解读质量水平。二是着力提升“两微一端”灵活便捷优势。加强“两微一端”日常监管和维护，继续拓宽微信公众号各类功能，提升公开信息质量，增强公开实效与时效性。三是</w:t>
      </w:r>
      <w:r>
        <w:rPr>
          <w:rFonts w:hint="eastAsia" w:ascii="微软雅黑" w:hAnsi="微软雅黑" w:eastAsia="微软雅黑" w:cs="微软雅黑"/>
          <w:color w:val="333333"/>
          <w:sz w:val="21"/>
          <w:szCs w:val="21"/>
          <w:shd w:val="clear" w:color="auto" w:fill="FFFFFF"/>
        </w:rPr>
        <w:t>进一步提高全体干部职工对做好政府信息公开工作的认识，加强宣传教育和对政府信息公开工作的领导和监督，层层落实责任，确保把政府信息公开工作落到实处。</w:t>
      </w:r>
    </w:p>
    <w:p>
      <w:pPr>
        <w:spacing w:line="640" w:lineRule="exact"/>
        <w:ind w:firstLine="420" w:firstLineChars="200"/>
        <w:rPr>
          <w:rFonts w:ascii="微软雅黑" w:hAnsi="微软雅黑" w:eastAsia="微软雅黑" w:cs="微软雅黑"/>
          <w:b/>
          <w:bCs/>
          <w:sz w:val="21"/>
          <w:szCs w:val="21"/>
        </w:rPr>
      </w:pPr>
      <w:r>
        <w:rPr>
          <w:rFonts w:hint="eastAsia" w:ascii="微软雅黑" w:hAnsi="微软雅黑" w:eastAsia="微软雅黑" w:cs="微软雅黑"/>
          <w:b/>
          <w:bCs/>
          <w:sz w:val="21"/>
          <w:szCs w:val="21"/>
        </w:rPr>
        <w:t>六、其他需要报告的事项</w:t>
      </w:r>
    </w:p>
    <w:p>
      <w:pPr>
        <w:widowControl/>
        <w:ind w:firstLine="420" w:firstLineChars="200"/>
        <w:jc w:val="left"/>
        <w:rPr>
          <w:rFonts w:ascii="微软雅黑" w:hAnsi="微软雅黑" w:eastAsia="微软雅黑" w:cs="微软雅黑"/>
          <w:sz w:val="21"/>
          <w:szCs w:val="21"/>
        </w:rPr>
      </w:pPr>
      <w:r>
        <w:rPr>
          <w:rFonts w:hint="eastAsia" w:ascii="微软雅黑" w:hAnsi="微软雅黑" w:eastAsia="微软雅黑" w:cs="微软雅黑"/>
          <w:sz w:val="21"/>
          <w:szCs w:val="21"/>
        </w:rPr>
        <w:t>没有其他需要报告的事项。</w:t>
      </w:r>
    </w:p>
    <w:p>
      <w:pPr>
        <w:rPr>
          <w:rFonts w:ascii="微软雅黑" w:hAnsi="微软雅黑" w:eastAsia="微软雅黑" w:cs="微软雅黑"/>
          <w:sz w:val="21"/>
          <w:szCs w:val="21"/>
        </w:rPr>
      </w:pPr>
      <w:r>
        <w:rPr>
          <w:rFonts w:hint="eastAsia" w:ascii="微软雅黑" w:hAnsi="微软雅黑" w:eastAsia="微软雅黑" w:cs="微软雅黑"/>
          <w:b/>
          <w:bCs/>
          <w:sz w:val="21"/>
          <w:szCs w:val="21"/>
        </w:rPr>
        <w:t>　</w:t>
      </w:r>
    </w:p>
    <w:p>
      <w:pPr>
        <w:pStyle w:val="4"/>
        <w:widowControl/>
        <w:numPr>
          <w:ilvl w:val="0"/>
          <w:numId w:val="0"/>
        </w:numPr>
        <w:spacing w:beforeAutospacing="1" w:afterAutospacing="1"/>
        <w:jc w:val="left"/>
        <w:rPr>
          <w:rFonts w:hint="eastAsia" w:ascii="微软雅黑" w:hAnsi="微软雅黑" w:eastAsia="微软雅黑" w:cs="微软雅黑"/>
          <w:b/>
          <w:bCs/>
          <w:sz w:val="21"/>
          <w:szCs w:val="21"/>
        </w:rPr>
      </w:pPr>
    </w:p>
    <w:p>
      <w:pPr>
        <w:pStyle w:val="4"/>
        <w:widowControl/>
        <w:numPr>
          <w:ilvl w:val="0"/>
          <w:numId w:val="0"/>
        </w:numPr>
        <w:spacing w:beforeAutospacing="1" w:afterAutospacing="1"/>
        <w:jc w:val="left"/>
        <w:rPr>
          <w:rFonts w:hint="eastAsia" w:ascii="微软雅黑" w:hAnsi="微软雅黑" w:eastAsia="微软雅黑" w:cs="微软雅黑"/>
          <w:b/>
          <w:bCs/>
          <w:sz w:val="21"/>
          <w:szCs w:val="21"/>
        </w:rPr>
      </w:pPr>
    </w:p>
    <w:p>
      <w:pPr>
        <w:pStyle w:val="4"/>
        <w:widowControl/>
        <w:numPr>
          <w:ilvl w:val="0"/>
          <w:numId w:val="0"/>
        </w:numPr>
        <w:spacing w:beforeAutospacing="1" w:afterAutospacing="1"/>
        <w:jc w:val="left"/>
        <w:rPr>
          <w:rFonts w:hint="eastAsia" w:ascii="微软雅黑" w:hAnsi="微软雅黑" w:eastAsia="微软雅黑" w:cs="微软雅黑"/>
          <w:b/>
          <w:bCs/>
          <w:sz w:val="21"/>
          <w:szCs w:val="21"/>
        </w:rPr>
      </w:pPr>
    </w:p>
    <w:p>
      <w:pPr>
        <w:pStyle w:val="4"/>
        <w:widowControl/>
        <w:numPr>
          <w:ilvl w:val="0"/>
          <w:numId w:val="0"/>
        </w:numPr>
        <w:spacing w:beforeAutospacing="1" w:afterAutospacing="1"/>
        <w:jc w:val="left"/>
        <w:rPr>
          <w:rFonts w:hint="eastAsia" w:ascii="微软雅黑" w:hAnsi="微软雅黑" w:eastAsia="微软雅黑" w:cs="微软雅黑"/>
          <w:b/>
          <w:bCs/>
          <w:sz w:val="21"/>
          <w:szCs w:val="21"/>
        </w:rPr>
      </w:pPr>
    </w:p>
    <w:p>
      <w:pPr>
        <w:rPr>
          <w:rFonts w:ascii="微软雅黑" w:hAnsi="微软雅黑" w:eastAsia="微软雅黑" w:cs="微软雅黑"/>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472B7A"/>
    <w:multiLevelType w:val="singleLevel"/>
    <w:tmpl w:val="FE472B7A"/>
    <w:lvl w:ilvl="0" w:tentative="0">
      <w:start w:val="2"/>
      <w:numFmt w:val="chineseCounting"/>
      <w:suff w:val="nothing"/>
      <w:lvlText w:val="%1、"/>
      <w:lvlJc w:val="left"/>
      <w:rPr>
        <w:rFonts w:hint="eastAsia"/>
      </w:rPr>
    </w:lvl>
  </w:abstractNum>
  <w:abstractNum w:abstractNumId="1">
    <w:nsid w:val="650E9E29"/>
    <w:multiLevelType w:val="singleLevel"/>
    <w:tmpl w:val="650E9E2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6646BAF"/>
    <w:rsid w:val="008644F1"/>
    <w:rsid w:val="00953BAF"/>
    <w:rsid w:val="00BD40F2"/>
    <w:rsid w:val="08DB08FF"/>
    <w:rsid w:val="092B4608"/>
    <w:rsid w:val="1514424D"/>
    <w:rsid w:val="1C3C3726"/>
    <w:rsid w:val="1F226F3E"/>
    <w:rsid w:val="22A30F86"/>
    <w:rsid w:val="26F62BAA"/>
    <w:rsid w:val="29D82981"/>
    <w:rsid w:val="2D542D81"/>
    <w:rsid w:val="2EF72F3C"/>
    <w:rsid w:val="30062B99"/>
    <w:rsid w:val="3A2879F8"/>
    <w:rsid w:val="3EFC1105"/>
    <w:rsid w:val="3FA13426"/>
    <w:rsid w:val="417C01F5"/>
    <w:rsid w:val="46031C08"/>
    <w:rsid w:val="47BD3C05"/>
    <w:rsid w:val="56646BAF"/>
    <w:rsid w:val="60EC3569"/>
    <w:rsid w:val="68264C8B"/>
    <w:rsid w:val="69777342"/>
    <w:rsid w:val="699B5DD7"/>
    <w:rsid w:val="74CC7F82"/>
    <w:rsid w:val="76C425A5"/>
    <w:rsid w:val="77A523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1"/>
    <w:qFormat/>
    <w:uiPriority w:val="0"/>
    <w:pPr>
      <w:tabs>
        <w:tab w:val="center" w:pos="4153"/>
        <w:tab w:val="right" w:pos="8306"/>
      </w:tabs>
      <w:snapToGrid w:val="0"/>
      <w:jc w:val="left"/>
    </w:pPr>
    <w:rPr>
      <w:sz w:val="18"/>
      <w:szCs w:val="18"/>
    </w:rPr>
  </w:style>
  <w:style w:type="paragraph" w:styleId="3">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D3D3D"/>
      <w:u w:val="none"/>
    </w:rPr>
  </w:style>
  <w:style w:type="character" w:styleId="9">
    <w:name w:val="Emphasis"/>
    <w:basedOn w:val="6"/>
    <w:qFormat/>
    <w:uiPriority w:val="0"/>
    <w:rPr>
      <w:b/>
    </w:rPr>
  </w:style>
  <w:style w:type="character" w:styleId="10">
    <w:name w:val="HTML Definition"/>
    <w:basedOn w:val="6"/>
    <w:qFormat/>
    <w:uiPriority w:val="0"/>
  </w:style>
  <w:style w:type="character" w:styleId="11">
    <w:name w:val="HTML Variable"/>
    <w:basedOn w:val="6"/>
    <w:qFormat/>
    <w:uiPriority w:val="0"/>
  </w:style>
  <w:style w:type="character" w:styleId="12">
    <w:name w:val="Hyperlink"/>
    <w:basedOn w:val="6"/>
    <w:qFormat/>
    <w:uiPriority w:val="0"/>
    <w:rPr>
      <w:color w:val="3D3D3D"/>
      <w:u w:val="none"/>
    </w:rPr>
  </w:style>
  <w:style w:type="character" w:styleId="13">
    <w:name w:val="HTML Code"/>
    <w:basedOn w:val="6"/>
    <w:qFormat/>
    <w:uiPriority w:val="0"/>
    <w:rPr>
      <w:rFonts w:hint="default" w:ascii="monospace" w:hAnsi="monospace" w:eastAsia="monospace" w:cs="monospace"/>
      <w:sz w:val="21"/>
      <w:szCs w:val="21"/>
    </w:rPr>
  </w:style>
  <w:style w:type="character" w:styleId="14">
    <w:name w:val="HTML Cite"/>
    <w:basedOn w:val="6"/>
    <w:qFormat/>
    <w:uiPriority w:val="0"/>
  </w:style>
  <w:style w:type="character" w:styleId="15">
    <w:name w:val="HTML Keyboard"/>
    <w:basedOn w:val="6"/>
    <w:qFormat/>
    <w:uiPriority w:val="0"/>
    <w:rPr>
      <w:rFonts w:hint="default" w:ascii="monospace" w:hAnsi="monospace" w:eastAsia="monospace" w:cs="monospace"/>
      <w:sz w:val="21"/>
      <w:szCs w:val="21"/>
    </w:rPr>
  </w:style>
  <w:style w:type="character" w:styleId="16">
    <w:name w:val="HTML Sample"/>
    <w:basedOn w:val="6"/>
    <w:qFormat/>
    <w:uiPriority w:val="0"/>
    <w:rPr>
      <w:rFonts w:ascii="monospace" w:hAnsi="monospace" w:eastAsia="monospace" w:cs="monospace"/>
      <w:sz w:val="21"/>
      <w:szCs w:val="21"/>
    </w:rPr>
  </w:style>
  <w:style w:type="character" w:customStyle="1" w:styleId="17">
    <w:name w:val="u-btn"/>
    <w:basedOn w:val="6"/>
    <w:qFormat/>
    <w:uiPriority w:val="0"/>
  </w:style>
  <w:style w:type="character" w:customStyle="1" w:styleId="18">
    <w:name w:val="z-open"/>
    <w:basedOn w:val="6"/>
    <w:qFormat/>
    <w:uiPriority w:val="0"/>
  </w:style>
  <w:style w:type="character" w:customStyle="1" w:styleId="19">
    <w:name w:val="layui-layer-tabnow"/>
    <w:basedOn w:val="6"/>
    <w:qFormat/>
    <w:uiPriority w:val="0"/>
    <w:rPr>
      <w:bdr w:val="single" w:color="CCCCCC" w:sz="6" w:space="0"/>
      <w:shd w:val="clear" w:color="auto" w:fill="FFFFFF"/>
    </w:rPr>
  </w:style>
  <w:style w:type="character" w:customStyle="1" w:styleId="20">
    <w:name w:val="first-child"/>
    <w:basedOn w:val="6"/>
    <w:qFormat/>
    <w:uiPriority w:val="0"/>
  </w:style>
  <w:style w:type="character" w:customStyle="1" w:styleId="21">
    <w:name w:val="hover41"/>
    <w:basedOn w:val="6"/>
    <w:qFormat/>
    <w:uiPriority w:val="0"/>
    <w:rPr>
      <w:color w:val="1D6DC6"/>
    </w:rPr>
  </w:style>
  <w:style w:type="character" w:customStyle="1" w:styleId="22">
    <w:name w:val="hover42"/>
    <w:basedOn w:val="6"/>
    <w:qFormat/>
    <w:uiPriority w:val="0"/>
    <w:rPr>
      <w:color w:val="1D6DC6"/>
    </w:rPr>
  </w:style>
  <w:style w:type="character" w:customStyle="1" w:styleId="23">
    <w:name w:val="hover43"/>
    <w:basedOn w:val="6"/>
    <w:qFormat/>
    <w:uiPriority w:val="0"/>
    <w:rPr>
      <w:color w:val="FFFFFF"/>
    </w:rPr>
  </w:style>
  <w:style w:type="character" w:customStyle="1" w:styleId="24">
    <w:name w:val="hover44"/>
    <w:basedOn w:val="6"/>
    <w:qFormat/>
    <w:uiPriority w:val="0"/>
    <w:rPr>
      <w:color w:val="1D6DC6"/>
    </w:rPr>
  </w:style>
  <w:style w:type="character" w:customStyle="1" w:styleId="25">
    <w:name w:val="hover45"/>
    <w:basedOn w:val="6"/>
    <w:qFormat/>
    <w:uiPriority w:val="0"/>
    <w:rPr>
      <w:color w:val="5FB878"/>
    </w:rPr>
  </w:style>
  <w:style w:type="character" w:customStyle="1" w:styleId="26">
    <w:name w:val="hover46"/>
    <w:basedOn w:val="6"/>
    <w:qFormat/>
    <w:uiPriority w:val="0"/>
    <w:rPr>
      <w:color w:val="5FB878"/>
    </w:rPr>
  </w:style>
  <w:style w:type="character" w:customStyle="1" w:styleId="27">
    <w:name w:val="on6"/>
    <w:basedOn w:val="6"/>
    <w:qFormat/>
    <w:uiPriority w:val="0"/>
    <w:rPr>
      <w:b/>
      <w:color w:val="D60A25"/>
    </w:rPr>
  </w:style>
  <w:style w:type="character" w:customStyle="1" w:styleId="28">
    <w:name w:val="layui-laypage-curr"/>
    <w:basedOn w:val="6"/>
    <w:qFormat/>
    <w:uiPriority w:val="0"/>
  </w:style>
  <w:style w:type="character" w:customStyle="1" w:styleId="29">
    <w:name w:val="layui-this4"/>
    <w:basedOn w:val="6"/>
    <w:qFormat/>
    <w:uiPriority w:val="0"/>
    <w:rPr>
      <w:bdr w:val="single" w:color="EEEEEE" w:sz="6" w:space="0"/>
      <w:shd w:val="clear" w:color="auto" w:fill="FFFFFF"/>
    </w:rPr>
  </w:style>
  <w:style w:type="character" w:customStyle="1" w:styleId="30">
    <w:name w:val="页眉 Char"/>
    <w:basedOn w:val="6"/>
    <w:link w:val="3"/>
    <w:qFormat/>
    <w:uiPriority w:val="0"/>
    <w:rPr>
      <w:rFonts w:asciiTheme="minorHAnsi" w:hAnsiTheme="minorHAnsi" w:eastAsiaTheme="minorEastAsia" w:cstheme="minorBidi"/>
      <w:kern w:val="2"/>
      <w:sz w:val="18"/>
      <w:szCs w:val="18"/>
    </w:rPr>
  </w:style>
  <w:style w:type="character" w:customStyle="1" w:styleId="31">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2260</Words>
  <Characters>441</Characters>
  <Lines>3</Lines>
  <Paragraphs>5</Paragraphs>
  <TotalTime>25</TotalTime>
  <ScaleCrop>false</ScaleCrop>
  <LinksUpToDate>false</LinksUpToDate>
  <CharactersWithSpaces>2696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2020-12-31T08:03:00Z</dcterms:created>
  <dc:creator>于明华</dc:creator>
  <cp:lastModifiedBy>法规科</cp:lastModifiedBy>
  <cp:lastPrinted>2021-01-27T02:34:00Z</cp:lastPrinted>
  <dcterms:modified xsi:type="dcterms:W3CDTF">2021-01-27T02:42:59Z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