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满洲里市人力资源和社会保障局2021年</w:t>
      </w:r>
    </w:p>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政府信息公开工作年度报告</w:t>
      </w:r>
    </w:p>
    <w:p>
      <w:pPr>
        <w:pStyle w:val="7"/>
        <w:widowControl/>
        <w:ind w:firstLine="640" w:firstLineChars="200"/>
        <w:jc w:val="both"/>
        <w:rPr>
          <w:rFonts w:hint="eastAsia" w:ascii="微软雅黑" w:hAnsi="微软雅黑" w:eastAsia="微软雅黑" w:cs="微软雅黑"/>
          <w:b/>
          <w:bCs/>
          <w:sz w:val="32"/>
          <w:szCs w:val="32"/>
        </w:rPr>
      </w:pPr>
    </w:p>
    <w:p>
      <w:pPr>
        <w:pStyle w:val="7"/>
        <w:widowControl/>
        <w:ind w:firstLine="640" w:firstLineChars="200"/>
        <w:jc w:val="both"/>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一、总体情况</w:t>
      </w:r>
    </w:p>
    <w:p>
      <w:pPr>
        <w:pStyle w:val="7"/>
        <w:widowControl/>
        <w:shd w:val="clear" w:color="auto" w:fill="FFFFFF"/>
        <w:spacing w:beforeAutospacing="0" w:afterAutospacing="0"/>
        <w:ind w:firstLine="640" w:firstLineChars="200"/>
        <w:jc w:val="both"/>
        <w:rPr>
          <w:rFonts w:ascii="微软雅黑" w:hAnsi="微软雅黑" w:eastAsia="微软雅黑" w:cs="微软雅黑"/>
          <w:sz w:val="32"/>
          <w:szCs w:val="32"/>
        </w:rPr>
      </w:pPr>
      <w:r>
        <w:rPr>
          <w:rFonts w:hint="eastAsia" w:ascii="微软雅黑" w:hAnsi="微软雅黑" w:eastAsia="微软雅黑" w:cs="微软雅黑"/>
          <w:sz w:val="32"/>
          <w:szCs w:val="32"/>
        </w:rPr>
        <w:t>2021年，满洲里市人力资源和社会保障局认真贯彻落实《</w:t>
      </w:r>
      <w:r>
        <w:rPr>
          <w:rFonts w:hint="eastAsia" w:ascii="微软雅黑" w:hAnsi="微软雅黑" w:eastAsia="微软雅黑" w:cs="微软雅黑"/>
          <w:color w:val="333333"/>
          <w:sz w:val="32"/>
          <w:szCs w:val="32"/>
        </w:rPr>
        <w:t>中华人民共和国政府信息公开条例</w:t>
      </w:r>
      <w:r>
        <w:rPr>
          <w:rFonts w:hint="eastAsia" w:ascii="微软雅黑" w:hAnsi="微软雅黑" w:eastAsia="微软雅黑" w:cs="微软雅黑"/>
          <w:sz w:val="32"/>
          <w:szCs w:val="32"/>
        </w:rPr>
        <w:t>》，按照市委、市政府的统一部署，坚持围绕中心、服务大局，按照公开原则，及时、准确、全面公开群众普遍关心、涉及群众切身利益的政府信息，通过政府信息公开网全面、详实地公开本单位工作信息。扎实做好政务信息公开工作，切实保障人民群众的知情权、参与权、监督权和表达权。</w:t>
      </w:r>
    </w:p>
    <w:p>
      <w:pPr>
        <w:pStyle w:val="7"/>
        <w:widowControl/>
        <w:wordWrap w:val="0"/>
        <w:spacing w:beforeAutospacing="0" w:afterAutospacing="0" w:line="320" w:lineRule="atLeast"/>
        <w:ind w:right="260" w:firstLine="640" w:firstLineChars="200"/>
        <w:jc w:val="both"/>
        <w:rPr>
          <w:rFonts w:ascii="微软雅黑" w:hAnsi="微软雅黑" w:eastAsia="微软雅黑" w:cs="微软雅黑"/>
          <w:kern w:val="2"/>
          <w:sz w:val="32"/>
          <w:szCs w:val="32"/>
        </w:rPr>
      </w:pPr>
      <w:r>
        <w:rPr>
          <w:rFonts w:hint="eastAsia" w:ascii="微软雅黑" w:hAnsi="微软雅黑" w:eastAsia="微软雅黑" w:cs="微软雅黑"/>
          <w:b/>
          <w:bCs/>
          <w:sz w:val="32"/>
          <w:szCs w:val="32"/>
        </w:rPr>
        <w:t>(一)主动公开方面。</w:t>
      </w:r>
      <w:r>
        <w:rPr>
          <w:rFonts w:hint="eastAsia" w:ascii="微软雅黑" w:hAnsi="微软雅黑" w:eastAsia="微软雅黑" w:cs="微软雅黑"/>
          <w:kern w:val="2"/>
          <w:sz w:val="32"/>
          <w:szCs w:val="32"/>
        </w:rPr>
        <w:t>一是</w:t>
      </w:r>
      <w:r>
        <w:rPr>
          <w:rFonts w:ascii="微软雅黑" w:hAnsi="微软雅黑" w:eastAsia="微软雅黑" w:cs="微软雅黑"/>
          <w:kern w:val="2"/>
          <w:sz w:val="32"/>
          <w:szCs w:val="32"/>
        </w:rPr>
        <w:t>认真落实法定公开要求。严格按照《中华人民共和国政府信息公开条例》规定及上级工作安排部署，加强信息公开审核，完善信息公开机制，进一步加强政府信息公开工作主动性、规范性、及时性，切实做好</w:t>
      </w:r>
      <w:r>
        <w:rPr>
          <w:rFonts w:hint="eastAsia" w:ascii="微软雅黑" w:hAnsi="微软雅黑" w:eastAsia="微软雅黑" w:cs="微软雅黑"/>
          <w:kern w:val="2"/>
          <w:sz w:val="32"/>
          <w:szCs w:val="32"/>
        </w:rPr>
        <w:t>满洲里</w:t>
      </w:r>
      <w:r>
        <w:rPr>
          <w:rFonts w:ascii="微软雅黑" w:hAnsi="微软雅黑" w:eastAsia="微软雅黑" w:cs="微软雅黑"/>
          <w:kern w:val="2"/>
          <w:sz w:val="32"/>
          <w:szCs w:val="32"/>
        </w:rPr>
        <w:t>政府网站相关栏目信息更新维护工作，确保各栏目信息在规定时限前完成更新维护</w:t>
      </w:r>
      <w:r>
        <w:rPr>
          <w:rFonts w:hint="eastAsia" w:ascii="微软雅黑" w:hAnsi="微软雅黑" w:eastAsia="微软雅黑" w:cs="微软雅黑"/>
          <w:kern w:val="2"/>
          <w:sz w:val="32"/>
          <w:szCs w:val="32"/>
        </w:rPr>
        <w:t>。二是</w:t>
      </w:r>
      <w:r>
        <w:rPr>
          <w:rFonts w:ascii="微软雅黑" w:hAnsi="微软雅黑" w:eastAsia="微软雅黑" w:cs="微软雅黑"/>
          <w:kern w:val="2"/>
          <w:sz w:val="32"/>
          <w:szCs w:val="32"/>
        </w:rPr>
        <w:t>持续做好重点领域信息公开。202</w:t>
      </w:r>
      <w:r>
        <w:rPr>
          <w:rFonts w:hint="eastAsia" w:ascii="微软雅黑" w:hAnsi="微软雅黑" w:eastAsia="微软雅黑" w:cs="微软雅黑"/>
          <w:kern w:val="2"/>
          <w:sz w:val="32"/>
          <w:szCs w:val="32"/>
        </w:rPr>
        <w:t>1</w:t>
      </w:r>
      <w:r>
        <w:rPr>
          <w:rFonts w:ascii="微软雅黑" w:hAnsi="微软雅黑" w:eastAsia="微软雅黑" w:cs="微软雅黑"/>
          <w:kern w:val="2"/>
          <w:sz w:val="32"/>
          <w:szCs w:val="32"/>
        </w:rPr>
        <w:t>年，在</w:t>
      </w:r>
      <w:r>
        <w:rPr>
          <w:rFonts w:hint="eastAsia" w:ascii="微软雅黑" w:hAnsi="微软雅黑" w:eastAsia="微软雅黑" w:cs="微软雅黑"/>
          <w:kern w:val="2"/>
          <w:sz w:val="32"/>
          <w:szCs w:val="32"/>
        </w:rPr>
        <w:t>满洲里</w:t>
      </w:r>
      <w:r>
        <w:rPr>
          <w:rFonts w:ascii="微软雅黑" w:hAnsi="微软雅黑" w:eastAsia="微软雅黑" w:cs="微软雅黑"/>
          <w:kern w:val="2"/>
          <w:sz w:val="32"/>
          <w:szCs w:val="32"/>
        </w:rPr>
        <w:t>政府网站“重点领域”中“</w:t>
      </w:r>
      <w:r>
        <w:rPr>
          <w:rFonts w:hint="eastAsia" w:ascii="微软雅黑" w:hAnsi="微软雅黑" w:eastAsia="微软雅黑" w:cs="微软雅黑"/>
          <w:kern w:val="2"/>
          <w:sz w:val="32"/>
          <w:szCs w:val="32"/>
        </w:rPr>
        <w:t>就业领域</w:t>
      </w:r>
      <w:r>
        <w:rPr>
          <w:rFonts w:ascii="微软雅黑" w:hAnsi="微软雅黑" w:eastAsia="微软雅黑" w:cs="微软雅黑"/>
          <w:kern w:val="2"/>
          <w:sz w:val="32"/>
          <w:szCs w:val="32"/>
        </w:rPr>
        <w:t>”栏目中发布信息</w:t>
      </w:r>
      <w:r>
        <w:rPr>
          <w:rFonts w:hint="eastAsia" w:ascii="微软雅黑" w:hAnsi="微软雅黑" w:eastAsia="微软雅黑" w:cs="微软雅黑"/>
          <w:kern w:val="2"/>
          <w:sz w:val="32"/>
          <w:szCs w:val="32"/>
        </w:rPr>
        <w:t>12</w:t>
      </w:r>
      <w:r>
        <w:rPr>
          <w:rFonts w:hint="eastAsia" w:ascii="微软雅黑" w:hAnsi="微软雅黑" w:eastAsia="微软雅黑" w:cs="微软雅黑"/>
          <w:kern w:val="2"/>
          <w:sz w:val="32"/>
          <w:szCs w:val="32"/>
          <w:lang w:val="en-US" w:eastAsia="zh-CN"/>
        </w:rPr>
        <w:t>5</w:t>
      </w:r>
      <w:r>
        <w:rPr>
          <w:rFonts w:ascii="微软雅黑" w:hAnsi="微软雅黑" w:eastAsia="微软雅黑" w:cs="微软雅黑"/>
          <w:kern w:val="2"/>
          <w:sz w:val="32"/>
          <w:szCs w:val="32"/>
        </w:rPr>
        <w:t>条，其中政策</w:t>
      </w:r>
      <w:r>
        <w:rPr>
          <w:rFonts w:hint="eastAsia" w:ascii="微软雅黑" w:hAnsi="微软雅黑" w:eastAsia="微软雅黑" w:cs="微软雅黑"/>
          <w:kern w:val="2"/>
          <w:sz w:val="32"/>
          <w:szCs w:val="32"/>
        </w:rPr>
        <w:t>信息</w:t>
      </w:r>
      <w:r>
        <w:rPr>
          <w:rFonts w:ascii="微软雅黑" w:hAnsi="微软雅黑" w:eastAsia="微软雅黑" w:cs="微软雅黑"/>
          <w:kern w:val="2"/>
          <w:sz w:val="32"/>
          <w:szCs w:val="32"/>
        </w:rPr>
        <w:t>8条</w:t>
      </w:r>
      <w:r>
        <w:rPr>
          <w:rFonts w:hint="eastAsia" w:ascii="微软雅黑" w:hAnsi="微软雅黑" w:eastAsia="微软雅黑" w:cs="微软雅黑"/>
          <w:kern w:val="2"/>
          <w:sz w:val="32"/>
          <w:szCs w:val="32"/>
        </w:rPr>
        <w:t>，办事指南</w:t>
      </w:r>
      <w:r>
        <w:rPr>
          <w:rFonts w:ascii="微软雅黑" w:hAnsi="微软雅黑" w:eastAsia="微软雅黑" w:cs="微软雅黑"/>
          <w:kern w:val="2"/>
          <w:sz w:val="32"/>
          <w:szCs w:val="32"/>
        </w:rPr>
        <w:t>信息2</w:t>
      </w:r>
      <w:r>
        <w:rPr>
          <w:rFonts w:hint="eastAsia" w:ascii="微软雅黑" w:hAnsi="微软雅黑" w:eastAsia="微软雅黑" w:cs="微软雅黑"/>
          <w:kern w:val="2"/>
          <w:sz w:val="32"/>
          <w:szCs w:val="32"/>
        </w:rPr>
        <w:t>1</w:t>
      </w:r>
      <w:r>
        <w:rPr>
          <w:rFonts w:ascii="微软雅黑" w:hAnsi="微软雅黑" w:eastAsia="微软雅黑" w:cs="微软雅黑"/>
          <w:kern w:val="2"/>
          <w:sz w:val="32"/>
          <w:szCs w:val="32"/>
        </w:rPr>
        <w:t>条，</w:t>
      </w:r>
      <w:r>
        <w:rPr>
          <w:rFonts w:hint="eastAsia" w:ascii="微软雅黑" w:hAnsi="微软雅黑" w:eastAsia="微软雅黑" w:cs="微软雅黑"/>
          <w:kern w:val="2"/>
          <w:sz w:val="32"/>
          <w:szCs w:val="32"/>
        </w:rPr>
        <w:t>工作进展</w:t>
      </w:r>
      <w:r>
        <w:rPr>
          <w:rFonts w:ascii="微软雅黑" w:hAnsi="微软雅黑" w:eastAsia="微软雅黑" w:cs="微软雅黑"/>
          <w:kern w:val="2"/>
          <w:sz w:val="32"/>
          <w:szCs w:val="32"/>
        </w:rPr>
        <w:t>信息</w:t>
      </w:r>
      <w:r>
        <w:rPr>
          <w:rFonts w:hint="eastAsia" w:ascii="微软雅黑" w:hAnsi="微软雅黑" w:eastAsia="微软雅黑" w:cs="微软雅黑"/>
          <w:kern w:val="2"/>
          <w:sz w:val="32"/>
          <w:szCs w:val="32"/>
        </w:rPr>
        <w:t>9</w:t>
      </w:r>
      <w:r>
        <w:rPr>
          <w:rFonts w:hint="eastAsia" w:ascii="微软雅黑" w:hAnsi="微软雅黑" w:eastAsia="微软雅黑" w:cs="微软雅黑"/>
          <w:kern w:val="2"/>
          <w:sz w:val="32"/>
          <w:szCs w:val="32"/>
          <w:lang w:val="en-US" w:eastAsia="zh-CN"/>
        </w:rPr>
        <w:t>6</w:t>
      </w:r>
      <w:r>
        <w:rPr>
          <w:rFonts w:ascii="微软雅黑" w:hAnsi="微软雅黑" w:eastAsia="微软雅黑" w:cs="微软雅黑"/>
          <w:kern w:val="2"/>
          <w:sz w:val="32"/>
          <w:szCs w:val="32"/>
        </w:rPr>
        <w:t>条。进一步完善</w:t>
      </w:r>
      <w:r>
        <w:rPr>
          <w:rFonts w:hint="eastAsia" w:ascii="微软雅黑" w:hAnsi="微软雅黑" w:eastAsia="微软雅黑" w:cs="微软雅黑"/>
          <w:kern w:val="2"/>
          <w:sz w:val="32"/>
          <w:szCs w:val="32"/>
        </w:rPr>
        <w:t>了</w:t>
      </w:r>
      <w:r>
        <w:rPr>
          <w:rFonts w:ascii="微软雅黑" w:hAnsi="微软雅黑" w:eastAsia="微软雅黑" w:cs="微软雅黑"/>
          <w:kern w:val="2"/>
          <w:sz w:val="32"/>
          <w:szCs w:val="32"/>
        </w:rPr>
        <w:t>就业等与群众切身利益密切相关领域政府信息常态化公开机制。及时发布高校毕业生、退役军人、城镇就业困难人员等群体就业创业的政策措施和就业供求信息。</w:t>
      </w:r>
      <w:r>
        <w:rPr>
          <w:rFonts w:hint="eastAsia" w:ascii="微软雅黑" w:hAnsi="微软雅黑" w:eastAsia="微软雅黑" w:cs="微软雅黑"/>
          <w:kern w:val="2"/>
          <w:sz w:val="32"/>
          <w:szCs w:val="32"/>
          <w:lang w:val="zh-CN"/>
        </w:rPr>
        <w:t>推出</w:t>
      </w:r>
      <w:r>
        <w:rPr>
          <w:rFonts w:hint="eastAsia" w:ascii="微软雅黑" w:hAnsi="微软雅黑" w:eastAsia="微软雅黑" w:cs="微软雅黑"/>
          <w:kern w:val="2"/>
          <w:sz w:val="32"/>
          <w:szCs w:val="32"/>
        </w:rPr>
        <w:t>“线上+线下”双招聘模式，通过微信公众号、抖音直播等发布招聘信息，进一步方便求职者与用工单位的精准匹配。开展了以“春风行动”为主题的网络招聘会6场，提供各类就业岗位15000余个，求职人数累计达到20000余人。“社会保险领域”栏目发布信息11</w:t>
      </w:r>
      <w:r>
        <w:rPr>
          <w:rFonts w:hint="eastAsia" w:ascii="微软雅黑" w:hAnsi="微软雅黑" w:eastAsia="微软雅黑" w:cs="微软雅黑"/>
          <w:kern w:val="2"/>
          <w:sz w:val="32"/>
          <w:szCs w:val="32"/>
          <w:lang w:val="en-US" w:eastAsia="zh-CN"/>
        </w:rPr>
        <w:t>7</w:t>
      </w:r>
      <w:r>
        <w:rPr>
          <w:rFonts w:hint="eastAsia" w:ascii="微软雅黑" w:hAnsi="微软雅黑" w:eastAsia="微软雅黑" w:cs="微软雅黑"/>
          <w:kern w:val="2"/>
          <w:sz w:val="32"/>
          <w:szCs w:val="32"/>
        </w:rPr>
        <w:t>条。根据国家部署，落实好降低工伤保险费率延长1年至2022年4月30日的政策，继续减轻企业运营压力。向自治区主管部门争取疫情特殊时期对待政策，将2021年12月社会保险缴费延迟至2022年3月，避免灵活就业人员和参保企业“断档”问题。畅通了“内蒙古税务局APP”“蒙速办APP”等多种网络缴费渠道，方便群众“足不出户”办理社会保险业务。通过政府网站及微信公众号广泛宣传，切实提高社会保障各项重要工作的群众知晓度。本年度发布“政策解读”1条《关于开展全市就业困难人员困难认定的通知》的政策解读，</w:t>
      </w:r>
      <w:r>
        <w:rPr>
          <w:rFonts w:ascii="微软雅黑" w:hAnsi="微软雅黑" w:eastAsia="微软雅黑" w:cs="微软雅黑"/>
          <w:kern w:val="2"/>
          <w:sz w:val="32"/>
          <w:szCs w:val="32"/>
        </w:rPr>
        <w:t>”</w:t>
      </w:r>
      <w:r>
        <w:rPr>
          <w:rFonts w:hint="eastAsia" w:ascii="微软雅黑" w:hAnsi="微软雅黑" w:eastAsia="微软雅黑" w:cs="微软雅黑"/>
          <w:kern w:val="2"/>
          <w:sz w:val="32"/>
          <w:szCs w:val="32"/>
        </w:rPr>
        <w:t>部门文件</w:t>
      </w:r>
      <w:r>
        <w:rPr>
          <w:rFonts w:ascii="微软雅黑" w:hAnsi="微软雅黑" w:eastAsia="微软雅黑" w:cs="微软雅黑"/>
          <w:kern w:val="2"/>
          <w:sz w:val="32"/>
          <w:szCs w:val="32"/>
        </w:rPr>
        <w:t>”</w:t>
      </w:r>
      <w:r>
        <w:rPr>
          <w:rFonts w:hint="eastAsia" w:ascii="微软雅黑" w:hAnsi="微软雅黑" w:eastAsia="微软雅黑" w:cs="微软雅黑"/>
          <w:kern w:val="2"/>
          <w:sz w:val="32"/>
          <w:szCs w:val="32"/>
        </w:rPr>
        <w:t>13条</w:t>
      </w:r>
      <w:r>
        <w:rPr>
          <w:rFonts w:hint="eastAsia" w:ascii="微软雅黑" w:hAnsi="微软雅黑" w:eastAsia="微软雅黑" w:cs="微软雅黑"/>
          <w:kern w:val="2"/>
          <w:sz w:val="32"/>
          <w:szCs w:val="32"/>
          <w:lang w:eastAsia="zh-CN"/>
        </w:rPr>
        <w:t>，</w:t>
      </w:r>
      <w:r>
        <w:rPr>
          <w:rFonts w:hint="eastAsia" w:ascii="微软雅黑" w:hAnsi="微软雅黑" w:eastAsia="微软雅黑" w:cs="微软雅黑"/>
          <w:kern w:val="2"/>
          <w:sz w:val="32"/>
          <w:szCs w:val="32"/>
          <w:lang w:val="en-US" w:eastAsia="zh-CN"/>
        </w:rPr>
        <w:t>其他对外管理服务事项办理结果4条</w:t>
      </w:r>
      <w:r>
        <w:rPr>
          <w:rFonts w:hint="eastAsia" w:ascii="微软雅黑" w:hAnsi="微软雅黑" w:eastAsia="微软雅黑" w:cs="微软雅黑"/>
          <w:kern w:val="2"/>
          <w:sz w:val="32"/>
          <w:szCs w:val="32"/>
        </w:rPr>
        <w:t>。</w:t>
      </w:r>
      <w:r>
        <w:rPr>
          <w:rFonts w:ascii="微软雅黑" w:hAnsi="微软雅黑" w:eastAsia="微软雅黑" w:cs="微软雅黑"/>
          <w:kern w:val="2"/>
          <w:sz w:val="32"/>
          <w:szCs w:val="32"/>
        </w:rPr>
        <w:t>推进建议政协提案办理结果公开，在“建议提案</w:t>
      </w:r>
      <w:r>
        <w:rPr>
          <w:rFonts w:hint="eastAsia" w:ascii="微软雅黑" w:hAnsi="微软雅黑" w:eastAsia="微软雅黑" w:cs="微软雅黑"/>
          <w:kern w:val="2"/>
          <w:sz w:val="32"/>
          <w:szCs w:val="32"/>
        </w:rPr>
        <w:t>”</w:t>
      </w:r>
      <w:r>
        <w:rPr>
          <w:rFonts w:ascii="微软雅黑" w:hAnsi="微软雅黑" w:eastAsia="微软雅黑" w:cs="微软雅黑"/>
          <w:kern w:val="2"/>
          <w:sz w:val="32"/>
          <w:szCs w:val="32"/>
        </w:rPr>
        <w:t>栏目公开了202</w:t>
      </w:r>
      <w:r>
        <w:rPr>
          <w:rFonts w:hint="eastAsia" w:ascii="微软雅黑" w:hAnsi="微软雅黑" w:eastAsia="微软雅黑" w:cs="微软雅黑"/>
          <w:kern w:val="2"/>
          <w:sz w:val="32"/>
          <w:szCs w:val="32"/>
        </w:rPr>
        <w:t>1</w:t>
      </w:r>
      <w:r>
        <w:rPr>
          <w:rFonts w:ascii="微软雅黑" w:hAnsi="微软雅黑" w:eastAsia="微软雅黑" w:cs="微软雅黑"/>
          <w:kern w:val="2"/>
          <w:sz w:val="32"/>
          <w:szCs w:val="32"/>
        </w:rPr>
        <w:t>年我局</w:t>
      </w:r>
      <w:r>
        <w:rPr>
          <w:rFonts w:hint="eastAsia" w:ascii="微软雅黑" w:hAnsi="微软雅黑" w:eastAsia="微软雅黑" w:cs="微软雅黑"/>
          <w:kern w:val="2"/>
          <w:sz w:val="32"/>
          <w:szCs w:val="32"/>
        </w:rPr>
        <w:t>回复</w:t>
      </w:r>
      <w:r>
        <w:rPr>
          <w:rFonts w:ascii="微软雅黑" w:hAnsi="微软雅黑" w:eastAsia="微软雅黑" w:cs="微软雅黑"/>
          <w:kern w:val="2"/>
          <w:sz w:val="32"/>
          <w:szCs w:val="32"/>
        </w:rPr>
        <w:t>人大建议</w:t>
      </w:r>
      <w:r>
        <w:rPr>
          <w:rFonts w:hint="eastAsia" w:ascii="微软雅黑" w:hAnsi="微软雅黑" w:eastAsia="微软雅黑" w:cs="微软雅黑"/>
          <w:kern w:val="2"/>
          <w:sz w:val="32"/>
          <w:szCs w:val="32"/>
        </w:rPr>
        <w:t>8篇</w:t>
      </w:r>
      <w:r>
        <w:rPr>
          <w:rFonts w:ascii="微软雅黑" w:hAnsi="微软雅黑" w:eastAsia="微软雅黑" w:cs="微软雅黑"/>
          <w:kern w:val="2"/>
          <w:sz w:val="32"/>
          <w:szCs w:val="32"/>
        </w:rPr>
        <w:t>、政协提案办理情况</w:t>
      </w:r>
      <w:r>
        <w:rPr>
          <w:rFonts w:hint="eastAsia" w:ascii="微软雅黑" w:hAnsi="微软雅黑" w:eastAsia="微软雅黑" w:cs="微软雅黑"/>
          <w:kern w:val="2"/>
          <w:sz w:val="32"/>
          <w:szCs w:val="32"/>
        </w:rPr>
        <w:t>3</w:t>
      </w:r>
      <w:r>
        <w:rPr>
          <w:rFonts w:ascii="微软雅黑" w:hAnsi="微软雅黑" w:eastAsia="微软雅黑" w:cs="微软雅黑"/>
          <w:kern w:val="2"/>
          <w:sz w:val="32"/>
          <w:szCs w:val="32"/>
        </w:rPr>
        <w:t>篇</w:t>
      </w:r>
      <w:r>
        <w:rPr>
          <w:rFonts w:hint="eastAsia" w:ascii="微软雅黑" w:hAnsi="微软雅黑" w:eastAsia="微软雅黑" w:cs="微软雅黑"/>
          <w:kern w:val="2"/>
          <w:sz w:val="32"/>
          <w:szCs w:val="32"/>
        </w:rPr>
        <w:t>，</w:t>
      </w:r>
      <w:r>
        <w:rPr>
          <w:rFonts w:hint="eastAsia" w:ascii="微软雅黑" w:hAnsi="微软雅黑" w:eastAsia="微软雅黑" w:cs="微软雅黑"/>
          <w:sz w:val="32"/>
          <w:szCs w:val="32"/>
        </w:rPr>
        <w:t>回应“市长信箱”信函1</w:t>
      </w:r>
      <w:r>
        <w:rPr>
          <w:rFonts w:hint="eastAsia" w:ascii="微软雅黑" w:hAnsi="微软雅黑" w:eastAsia="微软雅黑" w:cs="微软雅黑"/>
          <w:kern w:val="2"/>
          <w:sz w:val="32"/>
          <w:szCs w:val="32"/>
        </w:rPr>
        <w:t>1件，百姓留言18件，对网民提问的基层职称评定、人事关系调转、社保断档补缴、拖欠工资待遇等问题及时、详细予以解答回复，为群众普及法律知识、解读政策详情，得到群众认可好评。</w:t>
      </w:r>
      <w:r>
        <w:rPr>
          <w:rFonts w:hint="eastAsia" w:ascii="微软雅黑" w:hAnsi="微软雅黑" w:eastAsia="微软雅黑" w:cs="微软雅黑"/>
          <w:kern w:val="2"/>
          <w:sz w:val="32"/>
          <w:szCs w:val="32"/>
          <w:lang w:val="en-US" w:eastAsia="zh-CN"/>
        </w:rPr>
        <w:t>三</w:t>
      </w:r>
      <w:r>
        <w:rPr>
          <w:rFonts w:hint="eastAsia" w:ascii="微软雅黑" w:hAnsi="微软雅黑" w:eastAsia="微软雅黑" w:cs="微软雅黑"/>
          <w:sz w:val="32"/>
          <w:szCs w:val="32"/>
        </w:rPr>
        <w:t>是加大财政资金信息公开力度。全面实行财政预决算和“三公”经费信息公开。</w:t>
      </w:r>
      <w:r>
        <w:rPr>
          <w:rFonts w:hint="eastAsia" w:ascii="微软雅黑" w:hAnsi="微软雅黑" w:eastAsia="微软雅黑" w:cs="微软雅黑"/>
          <w:sz w:val="32"/>
          <w:szCs w:val="32"/>
          <w:lang w:val="en-US" w:eastAsia="zh-CN"/>
        </w:rPr>
        <w:t>四</w:t>
      </w:r>
      <w:r>
        <w:rPr>
          <w:rFonts w:hint="eastAsia" w:ascii="微软雅黑" w:hAnsi="微软雅黑" w:eastAsia="微软雅黑" w:cs="微软雅黑"/>
          <w:kern w:val="2"/>
          <w:sz w:val="32"/>
          <w:szCs w:val="32"/>
        </w:rPr>
        <w:t>是规范政务服务事项清单。截止2021年底发布171项公共服务事项清单，形成《满洲里市人力资源和社会保障局政务公开标准化目录》、社会保险、就业领域基层公开标准目录，方便百姓查询，不断优化人社服务、接受社会监督。此项工作我们实行动态管理，随时更新，</w:t>
      </w:r>
      <w:r>
        <w:rPr>
          <w:rFonts w:ascii="微软雅黑" w:hAnsi="微软雅黑" w:eastAsia="微软雅黑" w:cs="微软雅黑"/>
          <w:kern w:val="2"/>
          <w:sz w:val="32"/>
          <w:szCs w:val="32"/>
        </w:rPr>
        <w:t>并在</w:t>
      </w:r>
      <w:r>
        <w:rPr>
          <w:rFonts w:hint="eastAsia" w:ascii="微软雅黑" w:hAnsi="微软雅黑" w:eastAsia="微软雅黑" w:cs="微软雅黑"/>
          <w:kern w:val="2"/>
          <w:sz w:val="32"/>
          <w:szCs w:val="32"/>
        </w:rPr>
        <w:t>满洲里</w:t>
      </w:r>
      <w:r>
        <w:rPr>
          <w:rFonts w:ascii="微软雅黑" w:hAnsi="微软雅黑" w:eastAsia="微软雅黑" w:cs="微软雅黑"/>
          <w:kern w:val="2"/>
          <w:sz w:val="32"/>
          <w:szCs w:val="32"/>
        </w:rPr>
        <w:t>政府门户网站“</w:t>
      </w:r>
      <w:r>
        <w:rPr>
          <w:rFonts w:hint="eastAsia" w:ascii="微软雅黑" w:hAnsi="微软雅黑" w:eastAsia="微软雅黑" w:cs="微软雅黑"/>
          <w:kern w:val="2"/>
          <w:sz w:val="32"/>
          <w:szCs w:val="32"/>
        </w:rPr>
        <w:t>部门信息公开目录</w:t>
      </w:r>
      <w:r>
        <w:rPr>
          <w:rFonts w:ascii="微软雅黑" w:hAnsi="微软雅黑" w:eastAsia="微软雅黑" w:cs="微软雅黑"/>
          <w:kern w:val="2"/>
          <w:sz w:val="32"/>
          <w:szCs w:val="32"/>
        </w:rPr>
        <w:t>”栏目中进行发布。</w:t>
      </w:r>
    </w:p>
    <w:p>
      <w:pPr>
        <w:pStyle w:val="7"/>
        <w:widowControl/>
        <w:wordWrap w:val="0"/>
        <w:spacing w:beforeAutospacing="0" w:afterAutospacing="0" w:line="320" w:lineRule="atLeast"/>
        <w:ind w:right="260" w:firstLine="640" w:firstLineChars="200"/>
        <w:jc w:val="both"/>
        <w:rPr>
          <w:rFonts w:ascii="微软雅黑" w:hAnsi="微软雅黑" w:eastAsia="微软雅黑" w:cs="微软雅黑"/>
          <w:sz w:val="32"/>
          <w:szCs w:val="32"/>
        </w:rPr>
      </w:pPr>
      <w:r>
        <w:rPr>
          <w:rFonts w:hint="eastAsia" w:ascii="微软雅黑" w:hAnsi="微软雅黑" w:eastAsia="微软雅黑" w:cs="微软雅黑"/>
          <w:b/>
          <w:bCs/>
          <w:sz w:val="32"/>
          <w:szCs w:val="32"/>
        </w:rPr>
        <w:t>（二）依申请公开方面。</w:t>
      </w:r>
      <w:r>
        <w:rPr>
          <w:rFonts w:hint="eastAsia" w:ascii="微软雅黑" w:hAnsi="微软雅黑" w:eastAsia="微软雅黑" w:cs="微软雅黑"/>
          <w:sz w:val="32"/>
          <w:szCs w:val="32"/>
        </w:rPr>
        <w:t>2021年度，我局未接到依申请公开事项、未产生依申请公开政府信息案例、未产生因政府信息公开产生的行政诉讼。</w:t>
      </w:r>
    </w:p>
    <w:p>
      <w:pPr>
        <w:pStyle w:val="7"/>
        <w:widowControl/>
        <w:shd w:val="clear" w:color="auto" w:fill="FFFFFF"/>
        <w:spacing w:beforeAutospacing="0" w:afterAutospacing="0"/>
        <w:ind w:firstLine="640" w:firstLineChars="200"/>
        <w:jc w:val="both"/>
        <w:rPr>
          <w:rFonts w:ascii="微软雅黑" w:hAnsi="微软雅黑" w:eastAsia="微软雅黑" w:cs="微软雅黑"/>
          <w:sz w:val="32"/>
          <w:szCs w:val="32"/>
        </w:rPr>
      </w:pPr>
      <w:r>
        <w:rPr>
          <w:rFonts w:hint="eastAsia" w:ascii="微软雅黑" w:hAnsi="微软雅黑" w:eastAsia="微软雅黑" w:cs="微软雅黑"/>
          <w:b/>
          <w:bCs/>
          <w:sz w:val="32"/>
          <w:szCs w:val="32"/>
        </w:rPr>
        <w:t>（三）政府信息管理方面。</w:t>
      </w:r>
      <w:r>
        <w:rPr>
          <w:rFonts w:hint="eastAsia" w:ascii="微软雅黑" w:hAnsi="微软雅黑" w:eastAsia="微软雅黑" w:cs="微软雅黑"/>
          <w:sz w:val="32"/>
          <w:szCs w:val="32"/>
        </w:rPr>
        <w:t>建立健全政府信息管理动态调整机制。严格保证政府信息公开内容准确无误，对发布的信息内容进行审查，严格注意公民隐私保护。 制度性和政策性</w:t>
      </w:r>
      <w:r>
        <w:rPr>
          <w:rFonts w:hint="eastAsia" w:ascii="微软雅黑" w:hAnsi="微软雅黑" w:eastAsia="微软雅黑" w:cs="微软雅黑"/>
          <w:kern w:val="2"/>
          <w:sz w:val="32"/>
          <w:szCs w:val="32"/>
        </w:rPr>
        <w:t>内容长期公开、阶段性工作逐段公开、经常性工作及时公开、动态性工作实时公开。</w:t>
      </w:r>
      <w:r>
        <w:rPr>
          <w:rFonts w:hint="eastAsia" w:ascii="微软雅黑" w:hAnsi="微软雅黑" w:eastAsia="微软雅黑" w:cs="微软雅黑"/>
          <w:sz w:val="32"/>
          <w:szCs w:val="32"/>
        </w:rPr>
        <w:t>坚持以公开为常态、不公开为例外，抓住涉及关键工作、关键环节，突出群众关心、社会关注、与群众利益关系最密切的重要事项，从内容和形式上重点加以深化，积极回应社会关切内容。</w:t>
      </w:r>
    </w:p>
    <w:p>
      <w:pPr>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b/>
          <w:bCs/>
          <w:sz w:val="32"/>
          <w:szCs w:val="32"/>
        </w:rPr>
        <w:t>（四）平台建设方面。</w:t>
      </w:r>
      <w:r>
        <w:rPr>
          <w:rFonts w:hint="eastAsia" w:ascii="微软雅黑" w:hAnsi="微软雅黑" w:eastAsia="微软雅黑" w:cs="微软雅黑"/>
          <w:sz w:val="32"/>
          <w:szCs w:val="32"/>
        </w:rPr>
        <w:t>一是推进政府网站规范发展。建立网站信息发布审批制度，实行严格的信息采集、编辑、审核、发布流程，确保信息及时准确不涉密。畅通了社会群众了解我局工作信息的渠道，方便群众及时了解单位工作动态信息及相关办事程序。二是推进政务新媒体健康有序发展。</w:t>
      </w:r>
      <w:r>
        <w:rPr>
          <w:rFonts w:ascii="微软雅黑" w:hAnsi="微软雅黑" w:eastAsia="微软雅黑" w:cs="微软雅黑"/>
          <w:kern w:val="2"/>
          <w:sz w:val="32"/>
          <w:szCs w:val="32"/>
        </w:rPr>
        <w:t>认真落实上级关于政务新媒体管理的相关要求，加强我局政务新媒体信息维护保障工作</w:t>
      </w:r>
      <w:r>
        <w:rPr>
          <w:rFonts w:hint="eastAsia" w:ascii="微软雅黑" w:hAnsi="微软雅黑" w:eastAsia="微软雅黑" w:cs="微软雅黑"/>
          <w:kern w:val="2"/>
          <w:sz w:val="32"/>
          <w:szCs w:val="32"/>
        </w:rPr>
        <w:t>。</w:t>
      </w:r>
      <w:r>
        <w:rPr>
          <w:rFonts w:hint="eastAsia" w:ascii="微软雅黑" w:hAnsi="微软雅黑" w:eastAsia="微软雅黑" w:cs="微软雅黑"/>
          <w:sz w:val="32"/>
          <w:szCs w:val="32"/>
        </w:rPr>
        <w:t>我局共有政务新媒体4个，其中微信公众号3个：满洲里就业服务，2021年发布信息84条；满洲里劳动保障，2021年发布信息104条；满洲里市12333，2021年发布信息42条。抖音号1个：满洲里市就业服务局，发布信息21条。</w:t>
      </w:r>
    </w:p>
    <w:p>
      <w:pPr>
        <w:ind w:firstLine="640" w:firstLineChars="200"/>
        <w:rPr>
          <w:rFonts w:hint="default" w:ascii="微软雅黑" w:hAnsi="微软雅黑" w:eastAsia="微软雅黑" w:cs="微软雅黑"/>
          <w:kern w:val="0"/>
          <w:sz w:val="32"/>
          <w:szCs w:val="32"/>
          <w:lang w:val="en-US" w:eastAsia="zh-CN"/>
        </w:rPr>
      </w:pPr>
      <w:r>
        <w:rPr>
          <w:rFonts w:hint="eastAsia" w:ascii="微软雅黑" w:hAnsi="微软雅黑" w:eastAsia="微软雅黑" w:cs="微软雅黑"/>
          <w:b/>
          <w:bCs/>
          <w:sz w:val="32"/>
          <w:szCs w:val="32"/>
        </w:rPr>
        <w:t>（五）监督保障方面。</w:t>
      </w:r>
      <w:r>
        <w:rPr>
          <w:rFonts w:hint="eastAsia" w:ascii="微软雅黑" w:hAnsi="微软雅黑" w:eastAsia="微软雅黑" w:cs="微软雅黑"/>
          <w:sz w:val="32"/>
          <w:szCs w:val="32"/>
        </w:rPr>
        <w:t>2021年度，我局认真学习领悟党中央、国务院和自治区、市委、市政府关于全面推进政务公开工作的新精神、新要求、新理念，充分认识互联网环境下做好政务公开、政务服务工作的重大意义，转变观念，提高认识，分管领导亲自统筹协调推动，政务公开工作人员认真抓好落实</w:t>
      </w:r>
      <w:r>
        <w:rPr>
          <w:rFonts w:hint="eastAsia" w:ascii="微软雅黑" w:hAnsi="微软雅黑" w:eastAsia="微软雅黑" w:cs="微软雅黑"/>
          <w:kern w:val="0"/>
          <w:sz w:val="32"/>
          <w:szCs w:val="32"/>
        </w:rPr>
        <w:t>。健全审核机制，严把审核环节。每次公开内容在公开前必须经分管领导进行审核，特别重大的由局主要负责人审核把关，坚持“谁供稿、谁负责”，确保责任到人。明确专人接收、整理群众通过各种渠道反映的意见和要求，及时反馈给相关科室和部门，并将处理和落实情况予以公开，接受群众监督。</w:t>
      </w:r>
      <w:r>
        <w:rPr>
          <w:rFonts w:hint="eastAsia" w:ascii="微软雅黑" w:hAnsi="微软雅黑" w:eastAsia="微软雅黑" w:cs="微软雅黑"/>
          <w:kern w:val="0"/>
          <w:sz w:val="32"/>
          <w:szCs w:val="32"/>
          <w:lang w:val="en-US" w:eastAsia="zh-CN"/>
        </w:rPr>
        <w:t>积极配合政务公开考核，社会评议较好，没有因</w:t>
      </w:r>
      <w:r>
        <w:rPr>
          <w:rFonts w:hint="eastAsia" w:ascii="微软雅黑" w:hAnsi="微软雅黑" w:eastAsia="微软雅黑" w:cs="微软雅黑"/>
          <w:kern w:val="0"/>
          <w:sz w:val="32"/>
          <w:szCs w:val="32"/>
        </w:rPr>
        <w:t>政府信息公开</w:t>
      </w:r>
      <w:r>
        <w:rPr>
          <w:rFonts w:hint="eastAsia" w:ascii="微软雅黑" w:hAnsi="微软雅黑" w:eastAsia="微软雅黑" w:cs="微软雅黑"/>
          <w:kern w:val="0"/>
          <w:sz w:val="32"/>
          <w:szCs w:val="32"/>
          <w:lang w:val="en-US" w:eastAsia="zh-CN"/>
        </w:rPr>
        <w:t>产生</w:t>
      </w:r>
      <w:r>
        <w:rPr>
          <w:rFonts w:hint="eastAsia" w:ascii="微软雅黑" w:hAnsi="微软雅黑" w:eastAsia="微软雅黑" w:cs="微软雅黑"/>
          <w:kern w:val="0"/>
          <w:sz w:val="32"/>
          <w:szCs w:val="32"/>
        </w:rPr>
        <w:t>行政复议、行政诉讼</w:t>
      </w:r>
      <w:r>
        <w:rPr>
          <w:rFonts w:hint="eastAsia" w:ascii="微软雅黑" w:hAnsi="微软雅黑" w:eastAsia="微软雅黑" w:cs="微软雅黑"/>
          <w:kern w:val="0"/>
          <w:sz w:val="32"/>
          <w:szCs w:val="32"/>
          <w:lang w:val="en-US" w:eastAsia="zh-CN"/>
        </w:rPr>
        <w:t xml:space="preserve">并被责任追究等情况。  </w:t>
      </w:r>
    </w:p>
    <w:p>
      <w:pPr>
        <w:rPr>
          <w:rFonts w:ascii="微软雅黑" w:hAnsi="微软雅黑" w:eastAsia="微软雅黑" w:cs="微软雅黑"/>
          <w:kern w:val="0"/>
          <w:sz w:val="32"/>
          <w:szCs w:val="32"/>
        </w:rPr>
      </w:pPr>
      <w:r>
        <w:rPr>
          <w:rFonts w:hint="eastAsia" w:ascii="微软雅黑" w:hAnsi="微软雅黑" w:eastAsia="微软雅黑" w:cs="微软雅黑"/>
          <w:b/>
          <w:bCs/>
          <w:sz w:val="32"/>
          <w:szCs w:val="32"/>
        </w:rPr>
        <w:t>二、主动公开政府信息情况</w:t>
      </w:r>
    </w:p>
    <w:tbl>
      <w:tblPr>
        <w:tblStyle w:val="9"/>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sz w:val="24"/>
              </w:rPr>
            </w:pPr>
            <w:r>
              <w:rPr>
                <w:rFonts w:hint="eastAsia" w:ascii="宋体" w:hAnsi="宋体" w:eastAsia="宋体" w:cs="宋体"/>
                <w:color w:val="000000"/>
                <w:kern w:val="0"/>
                <w:sz w:val="24"/>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本年</w:t>
            </w:r>
            <w:r>
              <w:rPr>
                <w:rFonts w:hint="eastAsia" w:ascii="宋体" w:hAnsi="宋体" w:eastAsia="宋体" w:cs="宋体"/>
                <w:kern w:val="0"/>
                <w:sz w:val="24"/>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现行有效件</w:t>
            </w:r>
            <w:r>
              <w:rPr>
                <w:rFonts w:hint="eastAsia" w:ascii="宋体" w:hAnsi="宋体" w:eastAsia="宋体" w:cs="宋体"/>
                <w:kern w:val="0"/>
                <w:sz w:val="24"/>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1</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sz w:val="24"/>
              </w:rPr>
            </w:pPr>
            <w:r>
              <w:rPr>
                <w:rFonts w:hint="eastAsia" w:ascii="宋体" w:hAnsi="宋体" w:eastAsia="宋体" w:cs="宋体"/>
                <w:color w:val="000000"/>
                <w:kern w:val="0"/>
                <w:sz w:val="24"/>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sz w:val="24"/>
              </w:rPr>
            </w:pPr>
            <w:r>
              <w:rPr>
                <w:rFonts w:hint="eastAsia" w:ascii="宋体" w:hAnsi="宋体" w:eastAsia="宋体" w:cs="宋体"/>
                <w:color w:val="000000"/>
                <w:kern w:val="0"/>
                <w:sz w:val="24"/>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rPr>
                <w:sz w:val="24"/>
              </w:rPr>
            </w:pPr>
            <w:r>
              <w:rPr>
                <w:rFonts w:hint="eastAsia" w:ascii="宋体" w:hAnsi="宋体" w:eastAsia="宋体" w:cs="宋体"/>
                <w:color w:val="000000"/>
                <w:kern w:val="0"/>
                <w:sz w:val="24"/>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color w:val="000000"/>
                <w:kern w:val="0"/>
                <w:sz w:val="24"/>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ascii="宋体"/>
                <w:sz w:val="24"/>
              </w:rPr>
            </w:pPr>
            <w:r>
              <w:rPr>
                <w:rFonts w:hint="eastAsia" w:ascii="宋体"/>
                <w:sz w:val="24"/>
              </w:rPr>
              <w:t>5.27</w:t>
            </w:r>
          </w:p>
        </w:tc>
      </w:tr>
    </w:tbl>
    <w:p>
      <w:pPr>
        <w:pStyle w:val="7"/>
        <w:widowControl/>
        <w:jc w:val="both"/>
        <w:rPr>
          <w:rFonts w:ascii="微软雅黑" w:hAnsi="微软雅黑" w:eastAsia="微软雅黑" w:cs="微软雅黑"/>
          <w:b/>
          <w:bCs/>
          <w:sz w:val="32"/>
          <w:szCs w:val="32"/>
        </w:rPr>
      </w:pPr>
      <w:r>
        <w:rPr>
          <w:rFonts w:hint="eastAsia" w:ascii="微软雅黑" w:hAnsi="微软雅黑" w:eastAsia="微软雅黑" w:cs="微软雅黑"/>
          <w:b/>
          <w:bCs/>
          <w:sz w:val="32"/>
          <w:szCs w:val="32"/>
        </w:rPr>
        <w:t>三、收到和处理政府信息公开申请情况</w:t>
      </w:r>
    </w:p>
    <w:p>
      <w:pPr>
        <w:pStyle w:val="7"/>
        <w:widowControl/>
        <w:shd w:val="clear" w:color="auto" w:fill="FFFFFF"/>
        <w:spacing w:beforeAutospacing="0" w:afterAutospacing="0"/>
        <w:ind w:firstLine="420"/>
        <w:jc w:val="both"/>
        <w:rPr>
          <w:rFonts w:ascii="宋体" w:hAnsi="宋体" w:eastAsia="宋体" w:cs="宋体"/>
          <w:color w:val="333333"/>
        </w:rPr>
      </w:pPr>
    </w:p>
    <w:tbl>
      <w:tblPr>
        <w:tblStyle w:val="9"/>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1"/>
        <w:gridCol w:w="946"/>
        <w:gridCol w:w="3257"/>
        <w:gridCol w:w="693"/>
        <w:gridCol w:w="693"/>
        <w:gridCol w:w="693"/>
        <w:gridCol w:w="693"/>
        <w:gridCol w:w="693"/>
        <w:gridCol w:w="693"/>
        <w:gridCol w:w="6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7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楷体" w:hAnsi="楷体" w:eastAsia="楷体" w:cs="楷体"/>
                <w:kern w:val="0"/>
                <w:sz w:val="24"/>
              </w:rPr>
              <w:t>（本列数据的勾稽关系为：第一项加第二项之和，等于第三项加第四项之和）</w:t>
            </w:r>
          </w:p>
        </w:tc>
        <w:tc>
          <w:tcPr>
            <w:tcW w:w="4769"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93"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自然人</w:t>
            </w:r>
          </w:p>
        </w:tc>
        <w:tc>
          <w:tcPr>
            <w:tcW w:w="34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法人或其他组织</w:t>
            </w:r>
          </w:p>
        </w:tc>
        <w:tc>
          <w:tcPr>
            <w:tcW w:w="611"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93"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商业</w:t>
            </w:r>
          </w:p>
          <w:p>
            <w:pPr>
              <w:widowControl/>
              <w:rPr>
                <w:sz w:val="24"/>
              </w:rPr>
            </w:pPr>
            <w:r>
              <w:rPr>
                <w:rFonts w:hint="eastAsia" w:ascii="宋体" w:hAnsi="宋体" w:eastAsia="宋体" w:cs="宋体"/>
                <w:kern w:val="0"/>
                <w:sz w:val="24"/>
              </w:rPr>
              <w:t>企业</w:t>
            </w: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科研</w:t>
            </w:r>
          </w:p>
          <w:p>
            <w:pPr>
              <w:widowControl/>
              <w:rPr>
                <w:sz w:val="24"/>
              </w:rPr>
            </w:pPr>
            <w:r>
              <w:rPr>
                <w:rFonts w:hint="eastAsia" w:ascii="宋体" w:hAnsi="宋体" w:eastAsia="宋体" w:cs="宋体"/>
                <w:kern w:val="0"/>
                <w:sz w:val="24"/>
              </w:rPr>
              <w:t>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社会公益组织</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法律服务机构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其他</w:t>
            </w:r>
          </w:p>
        </w:tc>
        <w:tc>
          <w:tcPr>
            <w:tcW w:w="611"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一、本年新收政府信息公开申请数量</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二、上年结转政府信息公开申请数量</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三、本年度办理结果</w:t>
            </w: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（一）予以公开</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（二）部分公开</w:t>
            </w:r>
            <w:r>
              <w:rPr>
                <w:rFonts w:hint="eastAsia" w:ascii="楷体" w:hAnsi="楷体" w:eastAsia="楷体" w:cs="楷体"/>
                <w:kern w:val="0"/>
                <w:sz w:val="24"/>
              </w:rPr>
              <w:t>（区分处理的，只计这一情形，不计其他情形）</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ind w:left="0" w:leftChars="0" w:firstLine="0" w:firstLineChars="0"/>
              <w:rPr>
                <w:rFonts w:hint="default"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（三）不予公开</w:t>
            </w: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1.属于国家秘密</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2.其他法律行政法规禁止公开</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rFonts w:hint="eastAsia" w:eastAsiaTheme="minorEastAsia"/>
                <w:sz w:val="24"/>
                <w:lang w:val="en-US" w:eastAsia="zh-CN"/>
              </w:rPr>
            </w:pPr>
            <w:r>
              <w:rPr>
                <w:rFonts w:hint="eastAsia"/>
                <w:sz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3.危及“三安全一稳定”</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4.保护第三方合法权益</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5.属于三类内部事务信息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6.属于四类过程性信息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7.属于行政执法案卷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8.属于行政查询事项</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（四）无法提供</w:t>
            </w: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1.本机关不掌握相关政府信息</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2.没有现成信息需要另行制作</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3.补正后申请内容仍不明确</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（五）不予处理</w:t>
            </w: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1.信访举报投诉类申请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2.重复申请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3.要求提供公开出版物</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宋体" w:hAnsi="宋体" w:eastAsia="宋体" w:cs="宋体"/>
                <w:kern w:val="0"/>
                <w:sz w:val="24"/>
              </w:rPr>
              <w:t>4.无正当理由大量反复申请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5.要求行政机关确认或重新出具已获取信息</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outset"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（六）其他处理</w:t>
            </w: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1.申请人无正当理由逾期不补正、行政机关不再处理其政府信息公开申请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ind w:firstLine="240" w:firstLineChars="100"/>
              <w:rPr>
                <w:sz w:val="24"/>
              </w:rPr>
            </w:pPr>
          </w:p>
          <w:p>
            <w:pPr>
              <w:widowControl/>
              <w:ind w:firstLine="240" w:firstLineChars="100"/>
              <w:rPr>
                <w:sz w:val="24"/>
              </w:rPr>
            </w:pPr>
            <w:r>
              <w:rPr>
                <w:rFonts w:hint="eastAsia"/>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2.申请人逾期未按收费通知要求缴纳费用、行政机关不再处理其政府信息公开申请</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5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3.其他</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20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（七）总计</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sz w:val="24"/>
              </w:rPr>
            </w:pPr>
            <w:r>
              <w:rPr>
                <w:rFonts w:hint="eastAsia" w:ascii="Calibri" w:hAnsi="Calibri" w:cs="Calibri"/>
                <w:kern w:val="0"/>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7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宋体" w:hAnsi="宋体" w:eastAsia="宋体" w:cs="宋体"/>
                <w:kern w:val="0"/>
                <w:sz w:val="24"/>
              </w:rPr>
              <w:t>四、结转下年度继续办理</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r>
              <w:rPr>
                <w:rFonts w:ascii="Calibri" w:hAnsi="Calibri" w:cs="Calibri"/>
                <w:kern w:val="0"/>
                <w:sz w:val="24"/>
              </w:rPr>
              <w:t> </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ascii="Calibri" w:hAnsi="Calibri" w:cs="Calibri"/>
                <w:kern w:val="0"/>
                <w:sz w:val="24"/>
              </w:rPr>
              <w:t> </w:t>
            </w: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ascii="Calibri" w:hAnsi="Calibri" w:cs="Calibri"/>
                <w:kern w:val="0"/>
                <w:sz w:val="24"/>
              </w:rPr>
              <w:t> </w:t>
            </w: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ascii="Calibri" w:hAnsi="Calibri" w:cs="Calibri"/>
                <w:kern w:val="0"/>
                <w:sz w:val="24"/>
              </w:rPr>
              <w:t> </w:t>
            </w:r>
            <w:r>
              <w:rPr>
                <w:rFonts w:hint="eastAsia" w:ascii="Calibri" w:hAnsi="Calibri" w:cs="Calibri"/>
                <w:kern w:val="0"/>
                <w:sz w:val="24"/>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sz w:val="24"/>
              </w:rPr>
            </w:pPr>
            <w:r>
              <w:rPr>
                <w:rFonts w:hint="eastAsia" w:ascii="Calibri" w:hAnsi="Calibri" w:cs="Calibri"/>
                <w:kern w:val="0"/>
                <w:sz w:val="24"/>
              </w:rPr>
              <w:t>0</w:t>
            </w:r>
            <w:r>
              <w:rPr>
                <w:rFonts w:ascii="Calibri" w:hAnsi="Calibri" w:cs="Calibri"/>
                <w:kern w:val="0"/>
                <w:sz w:val="24"/>
              </w:rPr>
              <w:t> </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ascii="Calibri" w:hAnsi="Calibri" w:cs="Calibri"/>
                <w:kern w:val="0"/>
                <w:sz w:val="24"/>
              </w:rPr>
            </w:pPr>
            <w:r>
              <w:rPr>
                <w:rFonts w:ascii="Calibri" w:hAnsi="Calibri" w:cs="Calibri"/>
                <w:kern w:val="0"/>
                <w:sz w:val="24"/>
              </w:rPr>
              <w:t> </w:t>
            </w:r>
            <w:r>
              <w:rPr>
                <w:rFonts w:hint="eastAsia" w:ascii="Calibri" w:hAnsi="Calibri" w:cs="Calibri"/>
                <w:kern w:val="0"/>
                <w:sz w:val="24"/>
              </w:rPr>
              <w:t>0</w:t>
            </w:r>
          </w:p>
        </w:tc>
        <w:tc>
          <w:tcPr>
            <w:tcW w:w="611" w:type="dxa"/>
            <w:tcBorders>
              <w:top w:val="nil"/>
              <w:left w:val="nil"/>
              <w:bottom w:val="single" w:color="auto" w:sz="8" w:space="0"/>
              <w:right w:val="single" w:color="auto" w:sz="8" w:space="0"/>
            </w:tcBorders>
            <w:shd w:val="clear" w:color="auto" w:fill="auto"/>
            <w:tcMar>
              <w:left w:w="57" w:type="dxa"/>
              <w:right w:w="57" w:type="dxa"/>
            </w:tcMar>
          </w:tcPr>
          <w:p>
            <w:pPr>
              <w:widowControl/>
              <w:rPr>
                <w:rFonts w:ascii="Calibri" w:hAnsi="Calibri" w:cs="Calibri"/>
                <w:kern w:val="0"/>
                <w:sz w:val="24"/>
              </w:rPr>
            </w:pPr>
            <w:r>
              <w:rPr>
                <w:rFonts w:hint="eastAsia" w:ascii="Calibri" w:hAnsi="Calibri" w:cs="Calibri"/>
                <w:kern w:val="0"/>
                <w:sz w:val="24"/>
              </w:rPr>
              <w:t>0</w:t>
            </w:r>
          </w:p>
        </w:tc>
      </w:tr>
    </w:tbl>
    <w:p>
      <w:pPr>
        <w:pStyle w:val="7"/>
        <w:widowControl/>
        <w:numPr>
          <w:ilvl w:val="0"/>
          <w:numId w:val="1"/>
        </w:numPr>
        <w:jc w:val="both"/>
        <w:rPr>
          <w:rFonts w:ascii="微软雅黑" w:hAnsi="微软雅黑" w:eastAsia="微软雅黑" w:cs="微软雅黑"/>
          <w:b/>
          <w:bCs/>
          <w:sz w:val="32"/>
          <w:szCs w:val="32"/>
        </w:rPr>
      </w:pPr>
      <w:r>
        <w:rPr>
          <w:rFonts w:hint="eastAsia" w:ascii="微软雅黑" w:hAnsi="微软雅黑" w:eastAsia="微软雅黑" w:cs="微软雅黑"/>
          <w:b/>
          <w:bCs/>
          <w:sz w:val="32"/>
          <w:szCs w:val="32"/>
        </w:rPr>
        <w:t>政府信息公开行政复议、行政诉讼情况</w:t>
      </w:r>
    </w:p>
    <w:tbl>
      <w:tblPr>
        <w:tblStyle w:val="9"/>
        <w:tblW w:w="94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22"/>
        <w:gridCol w:w="622"/>
        <w:gridCol w:w="622"/>
        <w:gridCol w:w="622"/>
        <w:gridCol w:w="629"/>
        <w:gridCol w:w="622"/>
        <w:gridCol w:w="622"/>
        <w:gridCol w:w="623"/>
        <w:gridCol w:w="623"/>
        <w:gridCol w:w="630"/>
        <w:gridCol w:w="623"/>
        <w:gridCol w:w="623"/>
        <w:gridCol w:w="623"/>
        <w:gridCol w:w="623"/>
        <w:gridCol w:w="7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1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行政复议</w:t>
            </w:r>
          </w:p>
        </w:tc>
        <w:tc>
          <w:tcPr>
            <w:tcW w:w="6342"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结果维持</w:t>
            </w:r>
          </w:p>
        </w:tc>
        <w:tc>
          <w:tcPr>
            <w:tcW w:w="6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结果</w:t>
            </w:r>
            <w:r>
              <w:rPr>
                <w:rFonts w:hint="eastAsia" w:ascii="宋体" w:hAnsi="宋体" w:eastAsia="宋体" w:cs="宋体"/>
                <w:kern w:val="0"/>
                <w:sz w:val="24"/>
              </w:rPr>
              <w:br w:type="textWrapping"/>
            </w:r>
            <w:r>
              <w:rPr>
                <w:rFonts w:hint="eastAsia" w:ascii="宋体" w:hAnsi="宋体" w:eastAsia="宋体" w:cs="宋体"/>
                <w:kern w:val="0"/>
                <w:sz w:val="24"/>
              </w:rPr>
              <w:t>纠正</w:t>
            </w:r>
          </w:p>
        </w:tc>
        <w:tc>
          <w:tcPr>
            <w:tcW w:w="62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其他</w:t>
            </w:r>
            <w:r>
              <w:rPr>
                <w:rFonts w:hint="eastAsia" w:ascii="宋体" w:hAnsi="宋体" w:eastAsia="宋体" w:cs="宋体"/>
                <w:kern w:val="0"/>
                <w:sz w:val="24"/>
              </w:rPr>
              <w:br w:type="textWrapping"/>
            </w:r>
            <w:r>
              <w:rPr>
                <w:rFonts w:hint="eastAsia" w:ascii="宋体" w:hAnsi="宋体" w:eastAsia="宋体" w:cs="宋体"/>
                <w:kern w:val="0"/>
                <w:sz w:val="24"/>
              </w:rPr>
              <w:t>结果</w:t>
            </w:r>
          </w:p>
        </w:tc>
        <w:tc>
          <w:tcPr>
            <w:tcW w:w="62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尚未</w:t>
            </w:r>
            <w:r>
              <w:rPr>
                <w:rFonts w:hint="eastAsia" w:ascii="宋体" w:hAnsi="宋体" w:eastAsia="宋体" w:cs="宋体"/>
                <w:kern w:val="0"/>
                <w:sz w:val="24"/>
              </w:rPr>
              <w:br w:type="textWrapping"/>
            </w:r>
            <w:r>
              <w:rPr>
                <w:rFonts w:hint="eastAsia" w:ascii="宋体" w:hAnsi="宋体" w:eastAsia="宋体" w:cs="宋体"/>
                <w:kern w:val="0"/>
                <w:sz w:val="24"/>
              </w:rPr>
              <w:t>审结</w:t>
            </w:r>
          </w:p>
        </w:tc>
        <w:tc>
          <w:tcPr>
            <w:tcW w:w="62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总计</w:t>
            </w:r>
          </w:p>
        </w:tc>
        <w:tc>
          <w:tcPr>
            <w:tcW w:w="312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未经复议直接起诉</w:t>
            </w:r>
          </w:p>
        </w:tc>
        <w:tc>
          <w:tcPr>
            <w:tcW w:w="322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2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2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2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结果</w:t>
            </w:r>
            <w:r>
              <w:rPr>
                <w:rFonts w:hint="eastAsia" w:ascii="宋体" w:hAnsi="宋体" w:eastAsia="宋体" w:cs="宋体"/>
                <w:kern w:val="0"/>
                <w:sz w:val="24"/>
              </w:rPr>
              <w:br w:type="textWrapping"/>
            </w:r>
            <w:r>
              <w:rPr>
                <w:rFonts w:hint="eastAsia" w:ascii="宋体" w:hAnsi="宋体" w:eastAsia="宋体" w:cs="宋体"/>
                <w:kern w:val="0"/>
                <w:sz w:val="24"/>
              </w:rPr>
              <w:t>维持</w:t>
            </w: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结果</w:t>
            </w:r>
            <w:r>
              <w:rPr>
                <w:rFonts w:hint="eastAsia" w:ascii="宋体" w:hAnsi="宋体" w:eastAsia="宋体" w:cs="宋体"/>
                <w:kern w:val="0"/>
                <w:sz w:val="24"/>
              </w:rPr>
              <w:br w:type="textWrapping"/>
            </w:r>
            <w:r>
              <w:rPr>
                <w:rFonts w:hint="eastAsia" w:ascii="宋体" w:hAnsi="宋体" w:eastAsia="宋体" w:cs="宋体"/>
                <w:kern w:val="0"/>
                <w:sz w:val="24"/>
              </w:rPr>
              <w:t>纠正</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其他</w:t>
            </w:r>
            <w:r>
              <w:rPr>
                <w:rFonts w:hint="eastAsia" w:ascii="宋体" w:hAnsi="宋体" w:eastAsia="宋体" w:cs="宋体"/>
                <w:kern w:val="0"/>
                <w:sz w:val="24"/>
              </w:rPr>
              <w:br w:type="textWrapping"/>
            </w:r>
            <w:r>
              <w:rPr>
                <w:rFonts w:hint="eastAsia" w:ascii="宋体" w:hAnsi="宋体" w:eastAsia="宋体" w:cs="宋体"/>
                <w:kern w:val="0"/>
                <w:sz w:val="24"/>
              </w:rPr>
              <w:t>结果</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尚未</w:t>
            </w:r>
            <w:r>
              <w:rPr>
                <w:rFonts w:hint="eastAsia" w:ascii="宋体" w:hAnsi="宋体" w:eastAsia="宋体" w:cs="宋体"/>
                <w:kern w:val="0"/>
                <w:sz w:val="24"/>
              </w:rPr>
              <w:br w:type="textWrapping"/>
            </w:r>
            <w:r>
              <w:rPr>
                <w:rFonts w:hint="eastAsia" w:ascii="宋体" w:hAnsi="宋体" w:eastAsia="宋体" w:cs="宋体"/>
                <w:kern w:val="0"/>
                <w:sz w:val="24"/>
              </w:rPr>
              <w:t>审结</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总计</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结果</w:t>
            </w:r>
            <w:r>
              <w:rPr>
                <w:rFonts w:hint="eastAsia" w:ascii="宋体" w:hAnsi="宋体" w:eastAsia="宋体" w:cs="宋体"/>
                <w:kern w:val="0"/>
                <w:sz w:val="24"/>
              </w:rPr>
              <w:br w:type="textWrapping"/>
            </w:r>
            <w:r>
              <w:rPr>
                <w:rFonts w:hint="eastAsia" w:ascii="宋体" w:hAnsi="宋体" w:eastAsia="宋体" w:cs="宋体"/>
                <w:kern w:val="0"/>
                <w:sz w:val="24"/>
              </w:rPr>
              <w:t>维持</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结果</w:t>
            </w:r>
            <w:r>
              <w:rPr>
                <w:rFonts w:hint="eastAsia" w:ascii="宋体" w:hAnsi="宋体" w:eastAsia="宋体" w:cs="宋体"/>
                <w:kern w:val="0"/>
                <w:sz w:val="24"/>
              </w:rPr>
              <w:br w:type="textWrapping"/>
            </w:r>
            <w:r>
              <w:rPr>
                <w:rFonts w:hint="eastAsia" w:ascii="宋体" w:hAnsi="宋体" w:eastAsia="宋体" w:cs="宋体"/>
                <w:kern w:val="0"/>
                <w:sz w:val="24"/>
              </w:rPr>
              <w:t>纠正</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其他</w:t>
            </w:r>
            <w:r>
              <w:rPr>
                <w:rFonts w:hint="eastAsia" w:ascii="宋体" w:hAnsi="宋体" w:eastAsia="宋体" w:cs="宋体"/>
                <w:kern w:val="0"/>
                <w:sz w:val="24"/>
              </w:rPr>
              <w:br w:type="textWrapping"/>
            </w:r>
            <w:r>
              <w:rPr>
                <w:rFonts w:hint="eastAsia" w:ascii="宋体" w:hAnsi="宋体" w:eastAsia="宋体" w:cs="宋体"/>
                <w:kern w:val="0"/>
                <w:sz w:val="24"/>
              </w:rPr>
              <w:t>结果</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尚未</w:t>
            </w:r>
            <w:r>
              <w:rPr>
                <w:rFonts w:hint="eastAsia" w:ascii="宋体" w:hAnsi="宋体" w:eastAsia="宋体" w:cs="宋体"/>
                <w:kern w:val="0"/>
                <w:sz w:val="24"/>
              </w:rPr>
              <w:br w:type="textWrapping"/>
            </w:r>
            <w:r>
              <w:rPr>
                <w:rFonts w:hint="eastAsia" w:ascii="宋体" w:hAnsi="宋体" w:eastAsia="宋体" w:cs="宋体"/>
                <w:kern w:val="0"/>
                <w:sz w:val="24"/>
              </w:rPr>
              <w:t>审结</w:t>
            </w:r>
          </w:p>
        </w:tc>
        <w:tc>
          <w:tcPr>
            <w:tcW w:w="7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sz w:val="24"/>
              </w:rPr>
            </w:pPr>
            <w:r>
              <w:rPr>
                <w:rFonts w:hint="eastAsia" w:ascii="宋体" w:hAnsi="宋体" w:eastAsia="宋体" w:cs="宋体"/>
                <w:kern w:val="0"/>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22"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rFonts w:hint="eastAsia" w:eastAsia="黑体"/>
                <w:sz w:val="24"/>
                <w:lang w:val="en-US" w:eastAsia="zh-CN"/>
              </w:rPr>
            </w:pPr>
            <w:r>
              <w:rPr>
                <w:rFonts w:ascii="黑体" w:hAnsi="宋体" w:eastAsia="黑体" w:cs="黑体"/>
                <w:kern w:val="0"/>
                <w:sz w:val="24"/>
              </w:rPr>
              <w:t> </w:t>
            </w:r>
            <w:r>
              <w:rPr>
                <w:rFonts w:hint="eastAsia" w:ascii="黑体" w:hAnsi="宋体" w:eastAsia="黑体" w:cs="黑体"/>
                <w:kern w:val="0"/>
                <w:sz w:val="24"/>
                <w:lang w:val="en-US" w:eastAsia="zh-CN"/>
              </w:rPr>
              <w:t>0</w:t>
            </w:r>
          </w:p>
        </w:tc>
        <w:tc>
          <w:tcPr>
            <w:tcW w:w="622"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rFonts w:hint="eastAsia" w:eastAsiaTheme="minorEastAsia"/>
                <w:sz w:val="24"/>
                <w:lang w:val="en-US" w:eastAsia="zh-CN"/>
              </w:rPr>
            </w:pPr>
            <w:r>
              <w:rPr>
                <w:rFonts w:hint="eastAsia"/>
                <w:sz w:val="24"/>
                <w:lang w:val="en-US" w:eastAsia="zh-CN"/>
              </w:rPr>
              <w:t>0</w:t>
            </w:r>
          </w:p>
        </w:tc>
        <w:tc>
          <w:tcPr>
            <w:tcW w:w="622"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sz w:val="24"/>
              </w:rPr>
            </w:pPr>
            <w:r>
              <w:rPr>
                <w:rFonts w:hint="eastAsia" w:ascii="黑体" w:hAnsi="宋体" w:eastAsia="黑体" w:cs="黑体"/>
                <w:kern w:val="0"/>
                <w:sz w:val="24"/>
              </w:rPr>
              <w:t>0 </w:t>
            </w:r>
          </w:p>
        </w:tc>
        <w:tc>
          <w:tcPr>
            <w:tcW w:w="622"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sz w:val="24"/>
              </w:rPr>
            </w:pPr>
            <w:r>
              <w:rPr>
                <w:rFonts w:hint="eastAsia" w:ascii="黑体" w:hAnsi="宋体" w:eastAsia="黑体" w:cs="黑体"/>
                <w:kern w:val="0"/>
                <w:sz w:val="24"/>
              </w:rPr>
              <w:t>0 </w:t>
            </w:r>
          </w:p>
        </w:tc>
        <w:tc>
          <w:tcPr>
            <w:tcW w:w="629"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rFonts w:hint="eastAsia" w:eastAsiaTheme="minorEastAsia"/>
                <w:sz w:val="24"/>
                <w:lang w:val="en-US" w:eastAsia="zh-CN"/>
              </w:rPr>
            </w:pPr>
            <w:r>
              <w:rPr>
                <w:rFonts w:hint="eastAsia"/>
                <w:sz w:val="24"/>
                <w:lang w:val="en-US" w:eastAsia="zh-CN"/>
              </w:rPr>
              <w:t>0</w:t>
            </w:r>
          </w:p>
        </w:tc>
        <w:tc>
          <w:tcPr>
            <w:tcW w:w="622"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rFonts w:hint="eastAsia" w:eastAsia="黑体"/>
                <w:sz w:val="24"/>
                <w:lang w:val="en-US" w:eastAsia="zh-CN"/>
              </w:rPr>
            </w:pPr>
            <w:r>
              <w:rPr>
                <w:rFonts w:hint="eastAsia" w:ascii="黑体" w:hAnsi="宋体" w:eastAsia="黑体" w:cs="黑体"/>
                <w:kern w:val="0"/>
                <w:sz w:val="24"/>
              </w:rPr>
              <w:t> </w:t>
            </w:r>
            <w:r>
              <w:rPr>
                <w:rFonts w:hint="eastAsia" w:ascii="黑体" w:hAnsi="宋体" w:eastAsia="黑体" w:cs="黑体"/>
                <w:kern w:val="0"/>
                <w:sz w:val="24"/>
                <w:lang w:val="en-US" w:eastAsia="zh-CN"/>
              </w:rPr>
              <w:t>0</w:t>
            </w:r>
          </w:p>
        </w:tc>
        <w:tc>
          <w:tcPr>
            <w:tcW w:w="622"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rFonts w:hint="eastAsia" w:eastAsia="黑体"/>
                <w:sz w:val="24"/>
                <w:lang w:val="en-US" w:eastAsia="zh-CN"/>
              </w:rPr>
            </w:pPr>
            <w:r>
              <w:rPr>
                <w:rFonts w:hint="eastAsia" w:ascii="黑体" w:hAnsi="宋体" w:eastAsia="黑体" w:cs="黑体"/>
                <w:kern w:val="0"/>
                <w:sz w:val="24"/>
              </w:rPr>
              <w:t> </w:t>
            </w:r>
            <w:r>
              <w:rPr>
                <w:rFonts w:hint="eastAsia" w:ascii="黑体" w:hAnsi="宋体" w:eastAsia="黑体" w:cs="黑体"/>
                <w:kern w:val="0"/>
                <w:sz w:val="24"/>
                <w:lang w:val="en-US" w:eastAsia="zh-CN"/>
              </w:rPr>
              <w:t>0</w:t>
            </w:r>
          </w:p>
        </w:tc>
        <w:tc>
          <w:tcPr>
            <w:tcW w:w="623"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sz w:val="24"/>
              </w:rPr>
            </w:pPr>
            <w:r>
              <w:rPr>
                <w:rFonts w:hint="eastAsia" w:ascii="黑体" w:hAnsi="宋体" w:eastAsia="黑体" w:cs="黑体"/>
                <w:kern w:val="0"/>
                <w:sz w:val="24"/>
              </w:rPr>
              <w:t>0 </w:t>
            </w:r>
          </w:p>
        </w:tc>
        <w:tc>
          <w:tcPr>
            <w:tcW w:w="623"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rFonts w:hint="eastAsia" w:eastAsia="黑体"/>
                <w:sz w:val="24"/>
                <w:lang w:val="en-US" w:eastAsia="zh-CN"/>
              </w:rPr>
            </w:pPr>
            <w:r>
              <w:rPr>
                <w:rFonts w:hint="eastAsia" w:ascii="黑体" w:hAnsi="宋体" w:eastAsia="黑体" w:cs="黑体"/>
                <w:kern w:val="0"/>
                <w:sz w:val="24"/>
              </w:rPr>
              <w:t> </w:t>
            </w:r>
            <w:r>
              <w:rPr>
                <w:rFonts w:hint="eastAsia" w:ascii="黑体" w:hAnsi="宋体" w:eastAsia="黑体" w:cs="黑体"/>
                <w:kern w:val="0"/>
                <w:sz w:val="24"/>
                <w:lang w:val="en-US" w:eastAsia="zh-CN"/>
              </w:rPr>
              <w:t>0</w:t>
            </w:r>
          </w:p>
        </w:tc>
        <w:tc>
          <w:tcPr>
            <w:tcW w:w="630"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rFonts w:hint="eastAsia" w:eastAsia="黑体"/>
                <w:sz w:val="24"/>
                <w:lang w:val="en-US" w:eastAsia="zh-CN"/>
              </w:rPr>
            </w:pPr>
            <w:r>
              <w:rPr>
                <w:rFonts w:hint="eastAsia" w:ascii="黑体" w:hAnsi="宋体" w:eastAsia="黑体" w:cs="黑体"/>
                <w:kern w:val="0"/>
                <w:sz w:val="24"/>
              </w:rPr>
              <w:t> </w:t>
            </w:r>
            <w:r>
              <w:rPr>
                <w:rFonts w:hint="eastAsia" w:ascii="黑体" w:hAnsi="宋体" w:eastAsia="黑体" w:cs="黑体"/>
                <w:kern w:val="0"/>
                <w:sz w:val="24"/>
                <w:lang w:val="en-US" w:eastAsia="zh-CN"/>
              </w:rPr>
              <w:t>0</w:t>
            </w:r>
          </w:p>
        </w:tc>
        <w:tc>
          <w:tcPr>
            <w:tcW w:w="623"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sz w:val="24"/>
              </w:rPr>
            </w:pPr>
            <w:r>
              <w:rPr>
                <w:rFonts w:hint="eastAsia" w:ascii="黑体" w:hAnsi="宋体" w:eastAsia="黑体" w:cs="黑体"/>
                <w:kern w:val="0"/>
                <w:sz w:val="24"/>
              </w:rPr>
              <w:t> 0</w:t>
            </w:r>
          </w:p>
        </w:tc>
        <w:tc>
          <w:tcPr>
            <w:tcW w:w="623"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sz w:val="24"/>
              </w:rPr>
            </w:pPr>
            <w:r>
              <w:rPr>
                <w:rFonts w:hint="eastAsia" w:ascii="黑体" w:hAnsi="宋体" w:eastAsia="黑体" w:cs="黑体"/>
                <w:kern w:val="0"/>
                <w:sz w:val="24"/>
              </w:rPr>
              <w:t> 0</w:t>
            </w:r>
          </w:p>
        </w:tc>
        <w:tc>
          <w:tcPr>
            <w:tcW w:w="623"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sz w:val="24"/>
              </w:rPr>
            </w:pPr>
            <w:r>
              <w:rPr>
                <w:rFonts w:hint="eastAsia" w:ascii="黑体" w:hAnsi="宋体" w:eastAsia="黑体" w:cs="黑体"/>
                <w:kern w:val="0"/>
                <w:sz w:val="24"/>
              </w:rPr>
              <w:t>0 </w:t>
            </w:r>
          </w:p>
        </w:tc>
        <w:tc>
          <w:tcPr>
            <w:tcW w:w="623" w:type="dxa"/>
            <w:tcBorders>
              <w:top w:val="nil"/>
              <w:left w:val="single" w:color="auto" w:sz="8" w:space="0"/>
              <w:bottom w:val="nil"/>
              <w:right w:val="single" w:color="auto" w:sz="8" w:space="0"/>
            </w:tcBorders>
            <w:shd w:val="clear" w:color="auto" w:fill="auto"/>
            <w:tcMar>
              <w:left w:w="108" w:type="dxa"/>
              <w:right w:w="108" w:type="dxa"/>
            </w:tcMar>
            <w:vAlign w:val="center"/>
          </w:tcPr>
          <w:p>
            <w:pPr>
              <w:widowControl/>
              <w:rPr>
                <w:sz w:val="24"/>
              </w:rPr>
            </w:pPr>
            <w:r>
              <w:rPr>
                <w:rFonts w:hint="eastAsia" w:ascii="黑体" w:hAnsi="宋体" w:eastAsia="黑体" w:cs="黑体"/>
                <w:kern w:val="0"/>
                <w:sz w:val="24"/>
              </w:rPr>
              <w:t> 0</w:t>
            </w:r>
          </w:p>
        </w:tc>
        <w:tc>
          <w:tcPr>
            <w:tcW w:w="730" w:type="dxa"/>
            <w:tcBorders>
              <w:top w:val="nil"/>
              <w:left w:val="single" w:color="auto" w:sz="8" w:space="0"/>
              <w:bottom w:val="nil"/>
              <w:right w:val="single" w:color="auto" w:sz="8" w:space="0"/>
            </w:tcBorders>
            <w:shd w:val="clear" w:color="auto" w:fill="auto"/>
            <w:tcMar>
              <w:left w:w="108" w:type="dxa"/>
              <w:right w:w="108" w:type="dxa"/>
            </w:tcMar>
            <w:vAlign w:val="center"/>
          </w:tcPr>
          <w:p>
            <w:pPr>
              <w:rPr>
                <w:rFonts w:hint="eastAsia" w:ascii="宋体" w:eastAsiaTheme="minorEastAsia"/>
                <w:sz w:val="24"/>
                <w:lang w:val="en-US" w:eastAsia="zh-CN"/>
              </w:rPr>
            </w:pPr>
            <w:r>
              <w:rPr>
                <w:rFonts w:hint="eastAsia" w:ascii="宋体"/>
                <w:sz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rFonts w:ascii="黑体" w:hAnsi="宋体" w:eastAsia="黑体" w:cs="黑体"/>
                <w:kern w:val="0"/>
                <w:sz w:val="24"/>
              </w:rPr>
            </w:pPr>
          </w:p>
        </w:tc>
        <w:tc>
          <w:tcPr>
            <w:tcW w:w="7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r>
    </w:tbl>
    <w:p>
      <w:pPr>
        <w:ind w:firstLine="640" w:firstLineChars="200"/>
        <w:rPr>
          <w:rFonts w:hint="eastAsia" w:ascii="微软雅黑" w:hAnsi="微软雅黑" w:eastAsia="微软雅黑"/>
          <w:b/>
          <w:sz w:val="32"/>
          <w:szCs w:val="32"/>
        </w:rPr>
      </w:pPr>
    </w:p>
    <w:p>
      <w:pPr>
        <w:ind w:firstLine="640" w:firstLineChars="200"/>
        <w:rPr>
          <w:rFonts w:hint="eastAsia" w:ascii="微软雅黑" w:hAnsi="微软雅黑" w:eastAsia="微软雅黑"/>
          <w:b/>
          <w:sz w:val="32"/>
          <w:szCs w:val="32"/>
        </w:rPr>
      </w:pPr>
    </w:p>
    <w:p>
      <w:pPr>
        <w:ind w:firstLine="640" w:firstLineChars="200"/>
        <w:rPr>
          <w:rFonts w:hint="eastAsia" w:ascii="微软雅黑" w:hAnsi="微软雅黑" w:eastAsia="微软雅黑"/>
          <w:b/>
          <w:sz w:val="32"/>
          <w:szCs w:val="32"/>
        </w:rPr>
      </w:pPr>
      <w:r>
        <w:rPr>
          <w:rFonts w:hint="eastAsia" w:ascii="微软雅黑" w:hAnsi="微软雅黑" w:eastAsia="微软雅黑"/>
          <w:b/>
          <w:sz w:val="32"/>
          <w:szCs w:val="32"/>
        </w:rPr>
        <w:t>五、存在的主要问题及改进情况</w:t>
      </w:r>
    </w:p>
    <w:p>
      <w:pPr>
        <w:pStyle w:val="2"/>
        <w:rPr>
          <w:sz w:val="32"/>
          <w:szCs w:val="32"/>
        </w:rPr>
      </w:pPr>
    </w:p>
    <w:p>
      <w:pPr>
        <w:widowControl/>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2021年，我局政务信息公开工作虽然取得了一定进展，但离市委、市政府的要求、人民群众的期盼还有一定的差距。一是政务信息公开力度有待进一步加大；二是政务信息公开的内容还不够全面；三是信息公开更新还不够及时。</w:t>
      </w:r>
    </w:p>
    <w:p>
      <w:pPr>
        <w:spacing w:line="64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今后，</w:t>
      </w:r>
      <w:r>
        <w:rPr>
          <w:rFonts w:ascii="微软雅黑" w:hAnsi="微软雅黑" w:eastAsia="微软雅黑" w:cs="微软雅黑"/>
          <w:sz w:val="32"/>
          <w:szCs w:val="32"/>
        </w:rPr>
        <w:t>我局将根据政务信息公开工作要求，进一步做好政务公开工作，切实在当前工作基础上进一步提升政务公开工作水平，更加便于群众知情、办事和监督。针对工作过程中的薄弱环节，积极主动作为，采取更加有效的措施</w:t>
      </w:r>
      <w:r>
        <w:rPr>
          <w:rFonts w:hint="eastAsia" w:ascii="微软雅黑" w:hAnsi="微软雅黑" w:eastAsia="微软雅黑" w:cs="微软雅黑"/>
          <w:sz w:val="32"/>
          <w:szCs w:val="32"/>
        </w:rPr>
        <w:t>。一是提高思想认识，加大信息公开力度，</w:t>
      </w:r>
      <w:r>
        <w:rPr>
          <w:rFonts w:ascii="微软雅黑" w:hAnsi="微软雅黑" w:eastAsia="微软雅黑" w:cs="微软雅黑"/>
          <w:sz w:val="32"/>
          <w:szCs w:val="32"/>
        </w:rPr>
        <w:t>拓展社会信息公开范围</w:t>
      </w:r>
      <w:r>
        <w:rPr>
          <w:rFonts w:hint="eastAsia" w:ascii="微软雅黑" w:hAnsi="微软雅黑" w:eastAsia="微软雅黑" w:cs="微软雅黑"/>
          <w:sz w:val="32"/>
          <w:szCs w:val="32"/>
        </w:rPr>
        <w:t>。继续加强人社部门政府信息公开工作的宣传，使群众更多了解人社部门政府信息公开工作的相关内容，引导群众正确行使知情权；二是大力开展人社工作方面的宣传教育活动，增强群众对政务信息公开工作的认知度。三是</w:t>
      </w:r>
      <w:r>
        <w:rPr>
          <w:rFonts w:ascii="微软雅黑" w:hAnsi="微软雅黑" w:eastAsia="微软雅黑" w:cs="微软雅黑"/>
          <w:sz w:val="32"/>
          <w:szCs w:val="32"/>
        </w:rPr>
        <w:t>加强全局政府信息公开工作的规范性、主动性、及时性</w:t>
      </w:r>
      <w:r>
        <w:rPr>
          <w:rFonts w:hint="eastAsia" w:ascii="微软雅黑" w:hAnsi="微软雅黑" w:eastAsia="微软雅黑" w:cs="微软雅黑"/>
          <w:sz w:val="32"/>
          <w:szCs w:val="32"/>
        </w:rPr>
        <w:t>。进一步完善信息公开制度，强化信息公开的责任意识、大局意识、服务意识，确保政务信息公开工作及时、准确。</w:t>
      </w:r>
    </w:p>
    <w:p>
      <w:pPr>
        <w:pStyle w:val="7"/>
        <w:widowControl/>
        <w:numPr>
          <w:ilvl w:val="0"/>
          <w:numId w:val="2"/>
        </w:numPr>
        <w:ind w:firstLine="640" w:firstLineChars="200"/>
        <w:jc w:val="both"/>
        <w:rPr>
          <w:rFonts w:ascii="微软雅黑" w:hAnsi="微软雅黑" w:eastAsia="微软雅黑" w:cs="微软雅黑"/>
          <w:kern w:val="2"/>
          <w:sz w:val="32"/>
          <w:szCs w:val="32"/>
        </w:rPr>
      </w:pPr>
      <w:r>
        <w:rPr>
          <w:rFonts w:hint="eastAsia" w:ascii="微软雅黑" w:hAnsi="微软雅黑" w:eastAsia="微软雅黑" w:cs="微软雅黑"/>
          <w:b/>
          <w:bCs/>
          <w:sz w:val="32"/>
          <w:szCs w:val="32"/>
        </w:rPr>
        <w:t>其他需要报告的事项</w:t>
      </w:r>
    </w:p>
    <w:p>
      <w:pPr>
        <w:spacing w:line="640" w:lineRule="exact"/>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（一）</w:t>
      </w:r>
      <w:r>
        <w:rPr>
          <w:rFonts w:hint="eastAsia" w:ascii="微软雅黑" w:hAnsi="微软雅黑" w:eastAsia="微软雅黑" w:cs="微软雅黑"/>
          <w:sz w:val="32"/>
          <w:szCs w:val="32"/>
          <w:lang w:eastAsia="zh-CN"/>
        </w:rPr>
        <w:t>政务公开工作要点完成情况</w:t>
      </w:r>
    </w:p>
    <w:p>
      <w:pPr>
        <w:spacing w:line="64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积极开展双随机执法监管工作。加快推进“双随机、一公开”检查工作，完成由我局牵头开展由市场监管局配合的一次人力资源领域专项联合检查工作，及时将随机抽查的企业信息纳入企业诚信记录。同时又随机抽取了建筑业和餐饮业两行业共20家企业进行内部检查，将检查结果录入系统。通过信用满洲里平台主动公开行政处罚6条，其中法人行政处罚4条，自然人行政处罚2条，新增“红名单”企业1家，有效调动了企业构建和谐劳动关系的积极性和主动性。</w:t>
      </w:r>
    </w:p>
    <w:p>
      <w:pPr>
        <w:spacing w:line="64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加强规范性文件管理工作。我局2016年制定的规范性文件《满洲里市建筑施工企业农牧民工参加工伤保险实施细则》（满人社发【2016】23号），执行期已满，进行废止上报，并在政府网站进行公布。</w:t>
      </w:r>
    </w:p>
    <w:p>
      <w:pPr>
        <w:spacing w:line="64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积极宣传落实“蒙速办·一次办”。一是为了让群众尽享生活便利，一键开启足不出户的智慧生活，大力宣传“蒙速办”APP注册和宣传推广工作。充分发挥政府网站、微信公众号等新媒体作用，开展宣传报道，努力扩大宣传的覆盖面。发动干部职工积极下载并在朋友圈转发宣传内容。二是为进一步丰富人社领域在自治区“蒙速办”APP和政务服务门户网上的服务内容要求，“招聘信息”与“毕业生档案查询”两项业务，已接入自治区“蒙速办”APP和满洲里政府门户网站。三是满洲里市政府公布的“一次办”事项清单，涉及人社局7项社保业务，通过政府网站已公布事项办理流程。</w:t>
      </w:r>
    </w:p>
    <w:p>
      <w:pPr>
        <w:spacing w:line="64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加大劳动保障信息公开力度。满洲里劳动保障平台开通以来，采用灵活手段，拓宽服务领域，做到高效便民。2021年度，收到问题消息659个，通过预设系统自动答复和人工服务均作出答复，完成会话656次。电话咨询185件，微信企业群咨询51件，非业务范围内咨询32件，均已转达相关部门，做到有问必答。为让劳动领域普法更好的适应“互联网+”的新时代，通过微信公众平台多层次开展《保障农民工工资支付条例》宣传活动，发布“一图看懂”等让群众更容易接受与了解的方式宣传政策法规，疫情期间发布关于疫情期间稳岗补贴等一系列群众所关切的热点问题，取得了较好的反响。积极引导用人单位和农民工“知法、懂法、守法、用法”，实现了疫情防控、《条例》普法、维权服务“三不误”。</w:t>
      </w:r>
    </w:p>
    <w:p>
      <w:pPr>
        <w:spacing w:line="64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完善呼伦贝尔市12345政务服务便民热线平台。将认领的公共服务事项清单诉求处理渠道统一为0470-12345便民热线，拓宽群众建议反馈渠道。根据《满洲里市12345政务服务便民热线工作绩效考核细则》要求，制定《满洲里人力资源和社会保障局12345热线管理办法》，明确了热线受理、转办、办理、督办、反馈的办理流程并形成闭环工作机制；配备AB岗兼职接单，开展全工作日受理工作，接单方式为电脑和手机公众号两种方式进行并及时反馈。</w:t>
      </w:r>
    </w:p>
    <w:p>
      <w:pPr>
        <w:spacing w:line="600" w:lineRule="exact"/>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rPr>
        <w:t>全面推行证明事项告知承诺制。为进一步优化营商环境，提高政府服务能力，从制度层面解决企业群众办事证明材料多、手续繁等问题，实现相关审批服务事项流程更简、办事更快、服务更优，政府办下发《关于印发&lt;市本实行告知承诺制证明事项目录和保留证明事项目录&gt;的通知》的通知，其中涉及市人社局实行告知承诺制证明事项目录9项，保留证明事项目录16项。我们通过满洲里政府门户网站公布了市人社局承诺事项目录及保留证明事项目录。</w:t>
      </w:r>
    </w:p>
    <w:p>
      <w:pPr>
        <w:spacing w:line="640" w:lineRule="exact"/>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（二）收取信息处理费情况</w:t>
      </w:r>
    </w:p>
    <w:p>
      <w:pPr>
        <w:pStyle w:val="2"/>
        <w:rPr>
          <w:rFonts w:hint="default"/>
          <w:lang w:val="en-US" w:eastAsia="zh-CN"/>
        </w:rPr>
      </w:pPr>
      <w:r>
        <w:rPr>
          <w:rFonts w:hint="eastAsia" w:ascii="微软雅黑" w:hAnsi="微软雅黑" w:eastAsia="微软雅黑" w:cs="微软雅黑"/>
          <w:sz w:val="32"/>
          <w:szCs w:val="32"/>
          <w:lang w:val="en-US" w:eastAsia="zh-CN"/>
        </w:rPr>
        <w:t>2021年度未发生收取信息处理费的依申请公开案件</w:t>
      </w:r>
      <w:bookmarkStart w:id="0" w:name="_GoBack"/>
      <w:bookmarkEnd w:id="0"/>
      <w:r>
        <w:rPr>
          <w:rFonts w:hint="eastAsia" w:ascii="微软雅黑" w:hAnsi="微软雅黑" w:eastAsia="微软雅黑" w:cs="微软雅黑"/>
          <w:sz w:val="32"/>
          <w:szCs w:val="32"/>
          <w:lang w:val="en-US" w:eastAsia="zh-CN"/>
        </w:rPr>
        <w:t>。</w:t>
      </w:r>
    </w:p>
    <w:p>
      <w:pPr>
        <w:spacing w:line="640" w:lineRule="exact"/>
        <w:ind w:firstLine="640" w:firstLineChars="200"/>
        <w:rPr>
          <w:rFonts w:ascii="微软雅黑" w:hAnsi="微软雅黑" w:eastAsia="微软雅黑" w:cs="微软雅黑"/>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0DD3A"/>
    <w:multiLevelType w:val="singleLevel"/>
    <w:tmpl w:val="E6A0DD3A"/>
    <w:lvl w:ilvl="0" w:tentative="0">
      <w:start w:val="4"/>
      <w:numFmt w:val="chineseCounting"/>
      <w:suff w:val="nothing"/>
      <w:lvlText w:val="%1、"/>
      <w:lvlJc w:val="left"/>
      <w:rPr>
        <w:rFonts w:hint="eastAsia"/>
      </w:rPr>
    </w:lvl>
  </w:abstractNum>
  <w:abstractNum w:abstractNumId="1">
    <w:nsid w:val="77FFF0ED"/>
    <w:multiLevelType w:val="singleLevel"/>
    <w:tmpl w:val="77FFF0ED"/>
    <w:lvl w:ilvl="0" w:tentative="0">
      <w:start w:val="6"/>
      <w:numFmt w:val="chineseCounting"/>
      <w:suff w:val="nothing"/>
      <w:lvlText w:val="%1、"/>
      <w:lvlJc w:val="left"/>
      <w:rPr>
        <w:rFonts w:hint="eastAsia"/>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C962A7B"/>
    <w:rsid w:val="00051725"/>
    <w:rsid w:val="00196E58"/>
    <w:rsid w:val="001A28F5"/>
    <w:rsid w:val="002002E7"/>
    <w:rsid w:val="003013B2"/>
    <w:rsid w:val="00301CD1"/>
    <w:rsid w:val="00344DB7"/>
    <w:rsid w:val="003D14AA"/>
    <w:rsid w:val="004219A8"/>
    <w:rsid w:val="00462E22"/>
    <w:rsid w:val="004B5D7D"/>
    <w:rsid w:val="004B6CC2"/>
    <w:rsid w:val="006453A0"/>
    <w:rsid w:val="006762C8"/>
    <w:rsid w:val="007C67B1"/>
    <w:rsid w:val="0087557E"/>
    <w:rsid w:val="008E4D87"/>
    <w:rsid w:val="00A32CC6"/>
    <w:rsid w:val="00B86E16"/>
    <w:rsid w:val="00D25DF9"/>
    <w:rsid w:val="00EB197D"/>
    <w:rsid w:val="00F30D61"/>
    <w:rsid w:val="00FE76E4"/>
    <w:rsid w:val="00FF5C22"/>
    <w:rsid w:val="020538ED"/>
    <w:rsid w:val="03313BB8"/>
    <w:rsid w:val="07FF005E"/>
    <w:rsid w:val="09F701E6"/>
    <w:rsid w:val="16542812"/>
    <w:rsid w:val="17D76A00"/>
    <w:rsid w:val="19212ABD"/>
    <w:rsid w:val="20CE725A"/>
    <w:rsid w:val="231D38F4"/>
    <w:rsid w:val="279C5E68"/>
    <w:rsid w:val="27EB7E42"/>
    <w:rsid w:val="28625F08"/>
    <w:rsid w:val="2C073ABD"/>
    <w:rsid w:val="2E0214AF"/>
    <w:rsid w:val="2E1A31CA"/>
    <w:rsid w:val="2F920ECD"/>
    <w:rsid w:val="34863E45"/>
    <w:rsid w:val="353E4C7A"/>
    <w:rsid w:val="35912AD9"/>
    <w:rsid w:val="3A32000E"/>
    <w:rsid w:val="3CDB60AA"/>
    <w:rsid w:val="3D213020"/>
    <w:rsid w:val="3F5F2504"/>
    <w:rsid w:val="403A2A04"/>
    <w:rsid w:val="4862058D"/>
    <w:rsid w:val="4DF52BD3"/>
    <w:rsid w:val="4F8C543C"/>
    <w:rsid w:val="58B210B1"/>
    <w:rsid w:val="5CF76C3A"/>
    <w:rsid w:val="5E7C27A2"/>
    <w:rsid w:val="60417762"/>
    <w:rsid w:val="6BDF3567"/>
    <w:rsid w:val="6DF759DF"/>
    <w:rsid w:val="74FD5320"/>
    <w:rsid w:val="7A9F4CE9"/>
    <w:rsid w:val="7C5F2AF9"/>
    <w:rsid w:val="7C950F93"/>
    <w:rsid w:val="7C962A7B"/>
    <w:rsid w:val="7E4911F8"/>
    <w:rsid w:val="7FAB6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ody Text"/>
    <w:basedOn w:val="1"/>
    <w:qFormat/>
    <w:uiPriority w:val="1"/>
    <w:rPr>
      <w:sz w:val="29"/>
      <w:szCs w:val="29"/>
    </w:rPr>
  </w:style>
  <w:style w:type="paragraph" w:styleId="4">
    <w:name w:val="Body Text Indent"/>
    <w:basedOn w:val="1"/>
    <w:qFormat/>
    <w:uiPriority w:val="0"/>
    <w:pPr>
      <w:spacing w:after="120"/>
      <w:ind w:left="420" w:leftChars="200"/>
    </w:pPr>
    <w:rPr>
      <w:rFonts w:ascii="仿宋" w:hAnsi="仿宋" w:eastAsia="仿宋" w:cs="Times New Roman"/>
    </w:rPr>
  </w:style>
  <w:style w:type="paragraph" w:styleId="5">
    <w:name w:val="footer"/>
    <w:basedOn w:val="1"/>
    <w:link w:val="28"/>
    <w:qFormat/>
    <w:uiPriority w:val="0"/>
    <w:pPr>
      <w:tabs>
        <w:tab w:val="center" w:pos="4153"/>
        <w:tab w:val="right" w:pos="8306"/>
      </w:tabs>
      <w:snapToGrid w:val="0"/>
      <w:jc w:val="left"/>
    </w:pPr>
    <w:rPr>
      <w:sz w:val="18"/>
      <w:szCs w:val="18"/>
    </w:rPr>
  </w:style>
  <w:style w:type="paragraph" w:styleId="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qFormat/>
    <w:uiPriority w:val="0"/>
    <w:pPr>
      <w:ind w:firstLine="420"/>
    </w:pPr>
  </w:style>
  <w:style w:type="character" w:styleId="11">
    <w:name w:val="FollowedHyperlink"/>
    <w:basedOn w:val="10"/>
    <w:qFormat/>
    <w:uiPriority w:val="0"/>
    <w:rPr>
      <w:rFonts w:hint="eastAsia" w:ascii="宋体" w:hAnsi="宋体" w:eastAsia="宋体" w:cs="宋体"/>
      <w:color w:val="3D3D3D"/>
      <w:sz w:val="18"/>
      <w:szCs w:val="18"/>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rFonts w:hint="eastAsia" w:ascii="宋体" w:hAnsi="宋体" w:eastAsia="宋体" w:cs="宋体"/>
      <w:color w:val="3D3D3D"/>
      <w:sz w:val="18"/>
      <w:szCs w:val="18"/>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hover22"/>
    <w:basedOn w:val="10"/>
    <w:qFormat/>
    <w:uiPriority w:val="0"/>
    <w:rPr>
      <w:color w:val="000000"/>
      <w:shd w:val="clear" w:color="auto" w:fill="FFFFFF"/>
    </w:rPr>
  </w:style>
  <w:style w:type="character" w:customStyle="1" w:styleId="23">
    <w:name w:val="wx-space"/>
    <w:basedOn w:val="10"/>
    <w:qFormat/>
    <w:uiPriority w:val="0"/>
  </w:style>
  <w:style w:type="character" w:customStyle="1" w:styleId="24">
    <w:name w:val="wx-space1"/>
    <w:basedOn w:val="10"/>
    <w:qFormat/>
    <w:uiPriority w:val="0"/>
  </w:style>
  <w:style w:type="character" w:customStyle="1" w:styleId="25">
    <w:name w:val="bsharetext"/>
    <w:basedOn w:val="10"/>
    <w:qFormat/>
    <w:uiPriority w:val="0"/>
  </w:style>
  <w:style w:type="paragraph" w:customStyle="1" w:styleId="26">
    <w:name w:val="正文首行缩进1"/>
    <w:basedOn w:val="3"/>
    <w:qFormat/>
    <w:uiPriority w:val="0"/>
    <w:pPr>
      <w:ind w:firstLine="420" w:firstLineChars="100"/>
    </w:pPr>
    <w:rPr>
      <w:rFonts w:ascii="Calibri" w:hAnsi="Calibri"/>
    </w:rPr>
  </w:style>
  <w:style w:type="character" w:customStyle="1" w:styleId="27">
    <w:name w:val="页眉 Char"/>
    <w:basedOn w:val="10"/>
    <w:link w:val="6"/>
    <w:qFormat/>
    <w:uiPriority w:val="0"/>
    <w:rPr>
      <w:rFonts w:asciiTheme="minorHAnsi" w:hAnsiTheme="minorHAnsi" w:eastAsiaTheme="minorEastAsia" w:cstheme="minorBidi"/>
      <w:kern w:val="2"/>
      <w:sz w:val="18"/>
      <w:szCs w:val="18"/>
    </w:rPr>
  </w:style>
  <w:style w:type="character" w:customStyle="1" w:styleId="28">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778</Words>
  <Characters>4441</Characters>
  <Lines>37</Lines>
  <Paragraphs>10</Paragraphs>
  <TotalTime>80</TotalTime>
  <ScaleCrop>false</ScaleCrop>
  <LinksUpToDate>false</LinksUpToDate>
  <CharactersWithSpaces>5209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2022-01-17T02:05:00Z</dcterms:created>
  <dc:creator>ZHOUYANG</dc:creator>
  <cp:lastModifiedBy>高阳</cp:lastModifiedBy>
  <cp:lastPrinted>2022-01-19T08:27:00Z</cp:lastPrinted>
  <dcterms:modified xsi:type="dcterms:W3CDTF">2022-02-18T09:01:59Z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489F2549CC1141B6B81CFA3F0886222F</vt:lpwstr>
  </property>
</Properties>
</file>